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A6050" w:rsidRDefault="006A6050">
      <w:pPr>
        <w:pStyle w:val="Title"/>
      </w:pPr>
    </w:p>
    <w:p w:rsidR="00752CCB" w:rsidRDefault="00C8717F">
      <w:pPr>
        <w:pStyle w:val="Title"/>
      </w:pPr>
      <w:r>
        <w:t xml:space="preserve">Evidence Brief </w:t>
      </w:r>
    </w:p>
    <w:p w:rsidR="00752CCB" w:rsidRDefault="00C8717F">
      <w:pPr>
        <w:pStyle w:val="Heading1"/>
      </w:pPr>
      <w:r>
        <w:t>Paper Information</w:t>
      </w:r>
    </w:p>
    <w:p w:rsidR="00752CCB" w:rsidRDefault="00C8717F">
      <w:r>
        <w:rPr>
          <w:b/>
          <w:bCs/>
        </w:rPr>
        <w:t xml:space="preserve">Title: </w:t>
      </w:r>
      <w:r w:rsidR="00B13220">
        <w:rPr>
          <w:rStyle w:val="ng-star-inserted"/>
        </w:rPr>
        <w:t>Multigenerational Effects of Education Reform: Mother’s Education and Children’s Human Capital in Nepal</w:t>
      </w:r>
    </w:p>
    <w:p w:rsidR="00752CCB" w:rsidRDefault="00C8717F">
      <w:r>
        <w:rPr>
          <w:b/>
          <w:bCs/>
        </w:rPr>
        <w:t>Authors:</w:t>
      </w:r>
      <w:r w:rsidR="00B13220" w:rsidRPr="00B13220">
        <w:t xml:space="preserve"> </w:t>
      </w:r>
      <w:r w:rsidR="00B13220">
        <w:rPr>
          <w:rStyle w:val="ng-star-inserted"/>
        </w:rPr>
        <w:t>Vinish Shrestha and Rashesh Shrestha</w:t>
      </w:r>
      <w:r>
        <w:t xml:space="preserve"> </w:t>
      </w:r>
    </w:p>
    <w:p w:rsidR="00B13220" w:rsidRDefault="00C8717F">
      <w:pPr>
        <w:rPr>
          <w:rStyle w:val="ng-star-inserted"/>
        </w:rPr>
      </w:pPr>
      <w:r>
        <w:rPr>
          <w:b/>
          <w:bCs/>
        </w:rPr>
        <w:t xml:space="preserve">Journal/Source: </w:t>
      </w:r>
      <w:r w:rsidR="00B13220">
        <w:rPr>
          <w:rStyle w:val="ng-star-inserted"/>
        </w:rPr>
        <w:t>The World Bank Economic Review, Vol. 34</w:t>
      </w:r>
    </w:p>
    <w:p w:rsidR="00752CCB" w:rsidRDefault="00C8717F">
      <w:r>
        <w:rPr>
          <w:b/>
          <w:bCs/>
        </w:rPr>
        <w:t>Year:</w:t>
      </w:r>
      <w:r w:rsidR="00B13220">
        <w:rPr>
          <w:b/>
          <w:bCs/>
        </w:rPr>
        <w:t xml:space="preserve"> </w:t>
      </w:r>
      <w:r w:rsidR="00B13220" w:rsidRPr="00B13220">
        <w:t>2019</w:t>
      </w:r>
      <w:r>
        <w:t xml:space="preserve"> </w:t>
      </w:r>
    </w:p>
    <w:p w:rsidR="00752CCB" w:rsidRPr="000854F5" w:rsidRDefault="00C8717F">
      <w:r>
        <w:rPr>
          <w:b/>
          <w:bCs/>
        </w:rPr>
        <w:t xml:space="preserve">DOI/Link: </w:t>
      </w:r>
      <w:hyperlink r:id="rId7" w:history="1">
        <w:r w:rsidR="000854F5" w:rsidRPr="000854F5">
          <w:rPr>
            <w:rStyle w:val="Hyperlink"/>
          </w:rPr>
          <w:t>https://www.jstor.org/stable/48591185</w:t>
        </w:r>
      </w:hyperlink>
    </w:p>
    <w:p w:rsidR="000854F5" w:rsidRDefault="000854F5"/>
    <w:p w:rsidR="00752CCB" w:rsidRDefault="00C8717F">
      <w:pPr>
        <w:pStyle w:val="Heading1"/>
      </w:pPr>
      <w:r>
        <w:t>The Bottom Line</w:t>
      </w:r>
    </w:p>
    <w:p w:rsidR="00364858" w:rsidRDefault="00364858">
      <w:pPr>
        <w:pBdr>
          <w:top w:val="nil"/>
          <w:left w:val="nil"/>
          <w:bottom w:val="nil"/>
          <w:right w:val="nil"/>
          <w:between w:val="nil"/>
        </w:pBdr>
        <w:spacing w:before="120" w:after="120"/>
        <w:ind w:left="360" w:right="360"/>
        <w:rPr>
          <w:i/>
          <w:iCs/>
          <w:color w:val="7F8C8D"/>
          <w:sz w:val="20"/>
          <w:szCs w:val="20"/>
        </w:rPr>
      </w:pPr>
    </w:p>
    <w:p w:rsidR="006A6050" w:rsidRDefault="009C2CF4">
      <w:pPr>
        <w:pBdr>
          <w:top w:val="nil"/>
          <w:left w:val="nil"/>
          <w:bottom w:val="nil"/>
          <w:right w:val="nil"/>
          <w:between w:val="nil"/>
        </w:pBdr>
        <w:spacing w:before="120" w:after="120"/>
        <w:ind w:left="360" w:right="360"/>
        <w:rPr>
          <w:i/>
          <w:iCs/>
          <w:color w:val="2C3E50"/>
          <w:sz w:val="24"/>
          <w:szCs w:val="24"/>
        </w:rPr>
      </w:pPr>
      <w:r w:rsidRPr="009C2CF4">
        <w:rPr>
          <w:i/>
          <w:iCs/>
          <w:color w:val="2C3E50"/>
          <w:sz w:val="24"/>
          <w:szCs w:val="24"/>
        </w:rPr>
        <w:t>Blanket educational reforms significantly boost female schooling and generate positive multigenerational benefits for daughters. However, these gains are often unrealized for marginalized groups due to pre-existing social barriers such as caste-based discrimination. Achieving equitable progress requires reforms to be paired with targeted interventions that address underlying social norms and structural inequalities.</w:t>
      </w:r>
    </w:p>
    <w:p w:rsidR="00752CCB" w:rsidRDefault="00C8717F">
      <w:pPr>
        <w:pStyle w:val="Heading1"/>
      </w:pPr>
      <w:r>
        <w:t>1. Why This Paper?</w:t>
      </w:r>
    </w:p>
    <w:p w:rsidR="009C2CF4" w:rsidRDefault="009C2CF4" w:rsidP="009C2CF4"/>
    <w:p w:rsidR="009C2CF4" w:rsidRDefault="009C2CF4" w:rsidP="009C2CF4">
      <w:r>
        <w:t>This study addresses a fundamental policy question: can national supply-side education reforms create equitable outcomes across stratified social groups, and do these benefits persist across generations? While many developing country governments implement such reforms to increase educational attainment by reducing costs, this research fills a critical knowledge gap by investigating heterogeneous impacts across gender and caste lines over two generations. The paper moves beyond the "average effects" typically reported in development literature and reveals how social norms and status act as barriers that can prevent marginalized groups from benefiting from government-led educational expansions.</w:t>
      </w:r>
    </w:p>
    <w:p w:rsidR="009C2CF4" w:rsidRDefault="009C2CF4" w:rsidP="009C2CF4"/>
    <w:p w:rsidR="009C2CF4" w:rsidRDefault="009C2CF4" w:rsidP="009C2CF4">
      <w:r>
        <w:t>This question is vital for development and economic policy because educational gaps between social subgroups often explain the persistence of economic inequality across multiple generations. The study demonstrates that while Nepal's National Education System Plan (NESP) significantly boosted female schooling overall, these gains were virtually non-existent for the Dalit caste, who faced systemic exclusion and discrimination from both teachers and peers. For policymakers, this highlights that supply-side levers--such as providing trained teachers or free textbooks--are insufficient on their own to overcome deep-seated social hierarchies.</w:t>
      </w:r>
    </w:p>
    <w:p w:rsidR="00E67DB8" w:rsidRDefault="00E67DB8" w:rsidP="00E67DB8">
      <w:pPr>
        <w:pStyle w:val="Heading1"/>
        <w:rPr>
          <w:b w:val="0"/>
          <w:bCs w:val="0"/>
          <w:color w:val="auto"/>
          <w:sz w:val="22"/>
          <w:szCs w:val="22"/>
        </w:rPr>
      </w:pPr>
    </w:p>
    <w:p w:rsidR="009C2CF4" w:rsidRDefault="009C2CF4" w:rsidP="009C2CF4"/>
    <w:p w:rsidR="009C2CF4" w:rsidRPr="009C2CF4" w:rsidRDefault="009C2CF4" w:rsidP="009C2CF4"/>
    <w:p w:rsidR="009F66AC" w:rsidRPr="009C2CF4" w:rsidRDefault="00C8717F" w:rsidP="009C2CF4">
      <w:pPr>
        <w:pStyle w:val="Heading1"/>
      </w:pPr>
      <w:r>
        <w:lastRenderedPageBreak/>
        <w:t>2. Context &amp; Setting</w:t>
      </w:r>
    </w:p>
    <w:p w:rsidR="00752CCB" w:rsidRDefault="00752CCB"/>
    <w:tbl>
      <w:tblPr>
        <w:tblStyle w:val="a"/>
        <w:tblW w:w="96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7"/>
        <w:gridCol w:w="6587"/>
      </w:tblGrid>
      <w:tr w:rsidR="00752CCB" w:rsidTr="00FD4A8C">
        <w:trPr>
          <w:trHeight w:val="289"/>
        </w:trPr>
        <w:tc>
          <w:tcPr>
            <w:tcW w:w="3107" w:type="dxa"/>
            <w:tcBorders>
              <w:top w:val="single" w:sz="4" w:space="0" w:color="CCCCCC"/>
              <w:left w:val="single" w:sz="4" w:space="0" w:color="CCCCCC"/>
              <w:bottom w:val="single" w:sz="4" w:space="0" w:color="CCCCCC"/>
              <w:right w:val="single" w:sz="4" w:space="0" w:color="CCCCCC"/>
            </w:tcBorders>
            <w:shd w:val="clear" w:color="auto" w:fill="E8F4F8"/>
          </w:tcPr>
          <w:p w:rsidR="00752CCB" w:rsidRDefault="00C8717F">
            <w:r>
              <w:rPr>
                <w:b/>
                <w:bCs/>
              </w:rPr>
              <w:t>Element</w:t>
            </w:r>
          </w:p>
        </w:tc>
        <w:tc>
          <w:tcPr>
            <w:tcW w:w="6587" w:type="dxa"/>
            <w:tcBorders>
              <w:top w:val="single" w:sz="4" w:space="0" w:color="CCCCCC"/>
              <w:left w:val="single" w:sz="4" w:space="0" w:color="CCCCCC"/>
              <w:bottom w:val="single" w:sz="4" w:space="0" w:color="CCCCCC"/>
              <w:right w:val="single" w:sz="4" w:space="0" w:color="CCCCCC"/>
            </w:tcBorders>
            <w:shd w:val="clear" w:color="auto" w:fill="E8F4F8"/>
          </w:tcPr>
          <w:p w:rsidR="00752CCB" w:rsidRDefault="00C8717F">
            <w:r>
              <w:rPr>
                <w:b/>
                <w:bCs/>
              </w:rPr>
              <w:t>Details</w:t>
            </w:r>
          </w:p>
        </w:tc>
      </w:tr>
      <w:tr w:rsidR="00752CCB" w:rsidTr="00FD4A8C">
        <w:trPr>
          <w:trHeight w:val="867"/>
        </w:trPr>
        <w:tc>
          <w:tcPr>
            <w:tcW w:w="3107" w:type="dxa"/>
            <w:tcBorders>
              <w:top w:val="single" w:sz="4" w:space="0" w:color="CCCCCC"/>
              <w:left w:val="single" w:sz="4" w:space="0" w:color="CCCCCC"/>
              <w:bottom w:val="single" w:sz="4" w:space="0" w:color="CCCCCC"/>
              <w:right w:val="single" w:sz="4" w:space="0" w:color="CCCCCC"/>
            </w:tcBorders>
          </w:tcPr>
          <w:p w:rsidR="00752CCB" w:rsidRDefault="00C8717F">
            <w:r>
              <w:t>Country/Region</w:t>
            </w:r>
          </w:p>
        </w:tc>
        <w:tc>
          <w:tcPr>
            <w:tcW w:w="6587" w:type="dxa"/>
            <w:tcBorders>
              <w:top w:val="single" w:sz="4" w:space="0" w:color="CCCCCC"/>
              <w:left w:val="single" w:sz="4" w:space="0" w:color="CCCCCC"/>
              <w:bottom w:val="single" w:sz="4" w:space="0" w:color="CCCCCC"/>
              <w:right w:val="single" w:sz="4" w:space="0" w:color="CCCCCC"/>
            </w:tcBorders>
          </w:tcPr>
          <w:p w:rsidR="00752CCB" w:rsidRDefault="006A6050">
            <w:pPr>
              <w:rPr>
                <w:rStyle w:val="ng-star-inserted"/>
              </w:rPr>
            </w:pPr>
            <w:r>
              <w:t>Nepal</w:t>
            </w:r>
            <w:r>
              <w:rPr>
                <w:rStyle w:val="ng-star-inserted"/>
              </w:rPr>
              <w:t>, with analysis conducted across various districts using geographic variation in reform intensity</w:t>
            </w:r>
          </w:p>
          <w:p w:rsidR="006A6050" w:rsidRDefault="006A6050"/>
        </w:tc>
      </w:tr>
      <w:tr w:rsidR="00752CCB" w:rsidTr="00FD4A8C">
        <w:trPr>
          <w:trHeight w:val="1446"/>
        </w:trPr>
        <w:tc>
          <w:tcPr>
            <w:tcW w:w="3107" w:type="dxa"/>
            <w:tcBorders>
              <w:top w:val="single" w:sz="4" w:space="0" w:color="CCCCCC"/>
              <w:left w:val="single" w:sz="4" w:space="0" w:color="CCCCCC"/>
              <w:bottom w:val="single" w:sz="4" w:space="0" w:color="CCCCCC"/>
              <w:right w:val="single" w:sz="4" w:space="0" w:color="CCCCCC"/>
            </w:tcBorders>
          </w:tcPr>
          <w:p w:rsidR="00752CCB" w:rsidRDefault="00C8717F">
            <w:r>
              <w:t>Time Period</w:t>
            </w:r>
          </w:p>
        </w:tc>
        <w:tc>
          <w:tcPr>
            <w:tcW w:w="6587" w:type="dxa"/>
            <w:tcBorders>
              <w:top w:val="single" w:sz="4" w:space="0" w:color="CCCCCC"/>
              <w:left w:val="single" w:sz="4" w:space="0" w:color="CCCCCC"/>
              <w:bottom w:val="single" w:sz="4" w:space="0" w:color="CCCCCC"/>
              <w:right w:val="single" w:sz="4" w:space="0" w:color="CCCCCC"/>
            </w:tcBorders>
          </w:tcPr>
          <w:p w:rsidR="00752CCB" w:rsidRDefault="006A6050">
            <w:r>
              <w:t>The policy was implemented between 1971 and 1976. The study evaluates long-term outcomes for birth cohorts ranging from 1946 to 1976 (mothers) and their children (aged 10–14 in 2011).</w:t>
            </w:r>
          </w:p>
          <w:p w:rsidR="006A6050" w:rsidRDefault="006A6050"/>
        </w:tc>
      </w:tr>
      <w:tr w:rsidR="00752CCB" w:rsidTr="00FD4A8C">
        <w:trPr>
          <w:trHeight w:val="1157"/>
        </w:trPr>
        <w:tc>
          <w:tcPr>
            <w:tcW w:w="3107" w:type="dxa"/>
            <w:tcBorders>
              <w:top w:val="single" w:sz="4" w:space="0" w:color="CCCCCC"/>
              <w:left w:val="single" w:sz="4" w:space="0" w:color="CCCCCC"/>
              <w:bottom w:val="single" w:sz="4" w:space="0" w:color="CCCCCC"/>
              <w:right w:val="single" w:sz="4" w:space="0" w:color="CCCCCC"/>
            </w:tcBorders>
          </w:tcPr>
          <w:p w:rsidR="00752CCB" w:rsidRDefault="00C8717F">
            <w:r>
              <w:t>Sample Size</w:t>
            </w:r>
          </w:p>
        </w:tc>
        <w:tc>
          <w:tcPr>
            <w:tcW w:w="6587" w:type="dxa"/>
            <w:tcBorders>
              <w:top w:val="single" w:sz="4" w:space="0" w:color="CCCCCC"/>
              <w:left w:val="single" w:sz="4" w:space="0" w:color="CCCCCC"/>
              <w:bottom w:val="single" w:sz="4" w:space="0" w:color="CCCCCC"/>
              <w:right w:val="single" w:sz="4" w:space="0" w:color="CCCCCC"/>
            </w:tcBorders>
          </w:tcPr>
          <w:p w:rsidR="00752CCB" w:rsidRDefault="006A6050">
            <w:r>
              <w:t>The primary analysis of the first generation includes approximately 521,244 females. The multigenerational analysis focuses on a sample of 248,419 children aged 10–14.</w:t>
            </w:r>
          </w:p>
          <w:p w:rsidR="006A6050" w:rsidRDefault="006A6050"/>
        </w:tc>
      </w:tr>
      <w:tr w:rsidR="00752CCB" w:rsidTr="00FD4A8C">
        <w:trPr>
          <w:trHeight w:val="1157"/>
        </w:trPr>
        <w:tc>
          <w:tcPr>
            <w:tcW w:w="3107" w:type="dxa"/>
            <w:tcBorders>
              <w:top w:val="single" w:sz="4" w:space="0" w:color="CCCCCC"/>
              <w:left w:val="single" w:sz="4" w:space="0" w:color="CCCCCC"/>
              <w:bottom w:val="single" w:sz="4" w:space="0" w:color="CCCCCC"/>
              <w:right w:val="single" w:sz="4" w:space="0" w:color="CCCCCC"/>
            </w:tcBorders>
          </w:tcPr>
          <w:p w:rsidR="00752CCB" w:rsidRDefault="00C8717F">
            <w:r>
              <w:t>Population Studied</w:t>
            </w:r>
          </w:p>
        </w:tc>
        <w:tc>
          <w:tcPr>
            <w:tcW w:w="6587" w:type="dxa"/>
            <w:tcBorders>
              <w:top w:val="single" w:sz="4" w:space="0" w:color="CCCCCC"/>
              <w:left w:val="single" w:sz="4" w:space="0" w:color="CCCCCC"/>
              <w:bottom w:val="single" w:sz="4" w:space="0" w:color="CCCCCC"/>
              <w:right w:val="single" w:sz="4" w:space="0" w:color="CCCCCC"/>
            </w:tcBorders>
          </w:tcPr>
          <w:p w:rsidR="00752CCB" w:rsidRDefault="006A6050">
            <w:r>
              <w:t>Two generations are studied: females born between 1946 and 1976 and their offspring. The study specifically looks at heterogeneity across gender and caste groups (Upper caste, Dalit, and Janajati)</w:t>
            </w:r>
          </w:p>
        </w:tc>
      </w:tr>
      <w:tr w:rsidR="00752CCB" w:rsidTr="00FD4A8C">
        <w:trPr>
          <w:trHeight w:val="1446"/>
        </w:trPr>
        <w:tc>
          <w:tcPr>
            <w:tcW w:w="3107" w:type="dxa"/>
            <w:tcBorders>
              <w:top w:val="single" w:sz="4" w:space="0" w:color="CCCCCC"/>
              <w:left w:val="single" w:sz="4" w:space="0" w:color="CCCCCC"/>
              <w:bottom w:val="single" w:sz="4" w:space="0" w:color="CCCCCC"/>
              <w:right w:val="single" w:sz="4" w:space="0" w:color="CCCCCC"/>
            </w:tcBorders>
          </w:tcPr>
          <w:p w:rsidR="00752CCB" w:rsidRDefault="00C8717F">
            <w:r>
              <w:t>Policy/Program Evaluated</w:t>
            </w:r>
          </w:p>
        </w:tc>
        <w:tc>
          <w:tcPr>
            <w:tcW w:w="6587" w:type="dxa"/>
            <w:tcBorders>
              <w:top w:val="single" w:sz="4" w:space="0" w:color="CCCCCC"/>
              <w:left w:val="single" w:sz="4" w:space="0" w:color="CCCCCC"/>
              <w:bottom w:val="single" w:sz="4" w:space="0" w:color="CCCCCC"/>
              <w:right w:val="single" w:sz="4" w:space="0" w:color="CCCCCC"/>
            </w:tcBorders>
          </w:tcPr>
          <w:p w:rsidR="00752CCB" w:rsidRDefault="006A6050">
            <w:r>
              <w:t>The National Education System Plan (NESP) of 1971–1976. This was a supply-side reform that nationalized education, provided trained teachers, standardized curriculum, and introduced tuition-free primary education in poor regions</w:t>
            </w:r>
          </w:p>
          <w:p w:rsidR="006A6050" w:rsidRDefault="006A6050"/>
        </w:tc>
      </w:tr>
      <w:tr w:rsidR="00752CCB" w:rsidTr="00FD4A8C">
        <w:trPr>
          <w:trHeight w:val="2024"/>
        </w:trPr>
        <w:tc>
          <w:tcPr>
            <w:tcW w:w="3107" w:type="dxa"/>
            <w:tcBorders>
              <w:top w:val="single" w:sz="4" w:space="0" w:color="CCCCCC"/>
              <w:left w:val="single" w:sz="4" w:space="0" w:color="CCCCCC"/>
              <w:bottom w:val="single" w:sz="4" w:space="0" w:color="CCCCCC"/>
              <w:right w:val="single" w:sz="4" w:space="0" w:color="CCCCCC"/>
            </w:tcBorders>
          </w:tcPr>
          <w:p w:rsidR="00752CCB" w:rsidRDefault="00C8717F">
            <w:r>
              <w:t>Data Source(s)</w:t>
            </w:r>
          </w:p>
        </w:tc>
        <w:tc>
          <w:tcPr>
            <w:tcW w:w="6587" w:type="dxa"/>
            <w:tcBorders>
              <w:top w:val="single" w:sz="4" w:space="0" w:color="CCCCCC"/>
              <w:left w:val="single" w:sz="4" w:space="0" w:color="CCCCCC"/>
              <w:bottom w:val="single" w:sz="4" w:space="0" w:color="CCCCCC"/>
              <w:right w:val="single" w:sz="4" w:space="0" w:color="CCCCCC"/>
            </w:tcBorders>
          </w:tcPr>
          <w:p w:rsidR="00752CCB" w:rsidRDefault="006A6050">
            <w:r>
              <w:t>Primary data is from the Nepal National Population and Housing Census 2011. Supplementary data includes the 2001, 1991, and 1971 Censuses, the Nepal Living Standard Survey (1996, 2003, 2011), and the Demographic and Health Survey (2001). Administrative data from the Ministry of Education and UNESCO were used to measure reform intensity.</w:t>
            </w:r>
          </w:p>
          <w:p w:rsidR="006A6050" w:rsidRDefault="006A6050"/>
        </w:tc>
      </w:tr>
    </w:tbl>
    <w:p w:rsidR="00752CCB" w:rsidRDefault="00752CCB"/>
    <w:p w:rsidR="00FD4A8C" w:rsidRDefault="00FD4A8C"/>
    <w:p w:rsidR="00FD4A8C" w:rsidRDefault="00FD4A8C"/>
    <w:p w:rsidR="00752CCB" w:rsidRDefault="00C8717F">
      <w:r>
        <w:t>The NESP was implemented by the Government of Nepal through the Ministry of Education during a period of significant political transition. The policy environment was characterized by the government’s efforts to modernize the country’s education system and reduce regional disparities in access to schooling. The reform was a top-down national initiative that standardized curriculum, provided trained teachers to rural areas, and eliminated tuition fees for primary education in economically disadvantaged regions. Implementation relied on administrative data to determine teacher placement intensity across districts, making this a blanket program rollout rather than a targeted intervention.</w:t>
      </w:r>
    </w:p>
    <w:p w:rsidR="00FD4A8C" w:rsidRDefault="00FD4A8C">
      <w:pPr>
        <w:pStyle w:val="Heading1"/>
      </w:pPr>
    </w:p>
    <w:p w:rsidR="00FD4A8C" w:rsidRDefault="00FD4A8C">
      <w:pPr>
        <w:pStyle w:val="Heading1"/>
      </w:pPr>
    </w:p>
    <w:p w:rsidR="00752CCB" w:rsidRDefault="00C8717F">
      <w:pPr>
        <w:pStyle w:val="Heading1"/>
      </w:pPr>
      <w:r>
        <w:lastRenderedPageBreak/>
        <w:t>3. Causal Methodology</w:t>
      </w:r>
    </w:p>
    <w:p w:rsidR="00752CCB" w:rsidRDefault="00752CCB"/>
    <w:p w:rsidR="00752CCB" w:rsidRDefault="00C8717F">
      <w:r>
        <w:rPr>
          <w:b/>
          <w:bCs/>
        </w:rPr>
        <w:t xml:space="preserve">Design: </w:t>
      </w:r>
      <w:bookmarkStart w:id="0" w:name="_Hlk220773473"/>
      <w:r>
        <w:rPr>
          <w:b/>
          <w:bCs/>
        </w:rPr>
        <w:t>Difference-in-Differences</w:t>
      </w:r>
      <w:bookmarkEnd w:id="0"/>
      <w:r>
        <w:rPr>
          <w:b/>
          <w:bCs/>
        </w:rPr>
        <w:t>(DiD)</w:t>
      </w:r>
    </w:p>
    <w:p w:rsidR="00752CCB" w:rsidRDefault="00752CCB"/>
    <w:p w:rsidR="00752CCB" w:rsidRDefault="00C8717F">
      <w:pPr>
        <w:pStyle w:val="Heading2"/>
      </w:pPr>
      <w:r>
        <w:t>The Core Idea</w:t>
      </w:r>
    </w:p>
    <w:p w:rsidR="00FD4A8C" w:rsidRDefault="00FD4A8C" w:rsidP="00FD4A8C">
      <w:r>
        <w:t>The identification strategy exploits variation in both the timing and intensity of the education reform. The reform was not rolled out identically for everyone: it varied by when a person was born and where they lived. The exogenous variation comes from the uneven placement of trained teachers across different districts and the varying levels of exposure based on whether a child was young enough to attend school during the reform.</w:t>
      </w:r>
    </w:p>
    <w:p w:rsidR="00FD4A8C" w:rsidRDefault="00FD4A8C" w:rsidP="00FD4A8C">
      <w:r>
        <w:t>The model employs a difference-in-differences framework that first compares younger and older cohorts within districts, and then examines whether this cohort gap is larger in districts with higher policy intensity than in districts with lower intensity. This structure isolates the effect of policy exposure from both general generational trends and permanent district differences. The identifying assumption is that in the absence of the policy, the difference between younger and older cohorts would have evolved similarly across high- and low-intensity districts.</w:t>
      </w:r>
    </w:p>
    <w:p w:rsidR="00FD4A8C" w:rsidRDefault="00FD4A8C" w:rsidP="00FD4A8C"/>
    <w:p w:rsidR="00FD4A8C" w:rsidRDefault="00FD4A8C" w:rsidP="00FD4A8C">
      <w:r>
        <w:t>The causal interpretation rests on comparing the education gap between generations in high-intensity districts (those that received many teachers) against the same generational gap in low-intensity districts (those that received few teachers). The differential change in this gap identifies the reform's causal effect.</w:t>
      </w:r>
    </w:p>
    <w:p w:rsidR="00B13038" w:rsidRDefault="00B13038" w:rsidP="00B13038"/>
    <w:p w:rsidR="00752CCB" w:rsidRDefault="00C8717F">
      <w:pPr>
        <w:pStyle w:val="Heading2"/>
      </w:pPr>
      <w:r>
        <w:t>Key Assumptions</w:t>
      </w:r>
    </w:p>
    <w:p w:rsidR="000768EA" w:rsidRDefault="000768EA" w:rsidP="00842ED3">
      <w:pPr>
        <w:rPr>
          <w:i/>
          <w:iCs/>
          <w:color w:val="7F8C8D"/>
          <w:sz w:val="20"/>
          <w:szCs w:val="20"/>
        </w:rPr>
      </w:pPr>
    </w:p>
    <w:p w:rsidR="009B1542" w:rsidRDefault="009B1542" w:rsidP="009B1542">
      <w:r>
        <w:rPr>
          <w:b/>
        </w:rPr>
        <w:t xml:space="preserve">Parallel Trends: </w:t>
      </w:r>
      <w:r>
        <w:t>In the absence of the NESP reform, educational outcomes in high-intensity and low-intensity districts would have followed the same historical trend. This is the critical identifying assumption for causal inference in the difference-in-differences framework.</w:t>
      </w:r>
    </w:p>
    <w:p w:rsidR="009B1542" w:rsidRDefault="009B1542" w:rsidP="009B1542">
      <w:pPr>
        <w:rPr>
          <w:b/>
        </w:rPr>
      </w:pPr>
    </w:p>
    <w:p w:rsidR="009B1542" w:rsidRDefault="009B1542" w:rsidP="009B1542">
      <w:r>
        <w:rPr>
          <w:b/>
        </w:rPr>
        <w:t xml:space="preserve">No Simultaneous Shocks: </w:t>
      </w:r>
      <w:r>
        <w:t>There were no other unobserved factors (such as local economic booms or other specific policies) that coincided with the reform and differentially affected younger generations in districts that received more teachers.</w:t>
      </w:r>
    </w:p>
    <w:p w:rsidR="009B1542" w:rsidRDefault="009B1542" w:rsidP="009B1542">
      <w:pPr>
        <w:rPr>
          <w:b/>
        </w:rPr>
      </w:pPr>
    </w:p>
    <w:p w:rsidR="009B1542" w:rsidRDefault="009B1542" w:rsidP="009B1542">
      <w:r>
        <w:rPr>
          <w:b/>
        </w:rPr>
        <w:t xml:space="preserve">Non-Endogenous Placement: </w:t>
      </w:r>
      <w:r>
        <w:t>Teacher placement was not systematically directed toward districts that were already on a faster trajectory to educational improvement before the reform began. The study assumes that placement decisions were based on pre-reform characteristics captured in the model rather than anticipated future trends.</w:t>
      </w:r>
    </w:p>
    <w:p w:rsidR="00752CCB" w:rsidRDefault="00752CCB"/>
    <w:p w:rsidR="00752CCB" w:rsidRDefault="00C8717F">
      <w:pPr>
        <w:pStyle w:val="Heading2"/>
      </w:pPr>
      <w:r>
        <w:t>Robustness</w:t>
      </w:r>
    </w:p>
    <w:p w:rsidR="00842ED3" w:rsidRDefault="00842ED3"/>
    <w:p w:rsidR="009B1542" w:rsidRDefault="009B1542" w:rsidP="009B1542">
      <w:r>
        <w:rPr>
          <w:b/>
        </w:rPr>
        <w:t xml:space="preserve">Placebo Exercise: </w:t>
      </w:r>
      <w:r>
        <w:t>The analysis was conducted on an older placebo cohort (born between 1936-1955) who were too old to benefit from the reform. No significant effects were found, confirming that the model is not simply detecting pre-existing trends or random patterns.</w:t>
      </w:r>
    </w:p>
    <w:p w:rsidR="009B1542" w:rsidRDefault="009B1542" w:rsidP="009B1542">
      <w:pPr>
        <w:rPr>
          <w:b/>
        </w:rPr>
      </w:pPr>
    </w:p>
    <w:p w:rsidR="009B1542" w:rsidRDefault="009B1542" w:rsidP="009B1542">
      <w:r>
        <w:rPr>
          <w:b/>
        </w:rPr>
        <w:t xml:space="preserve">Event Study: </w:t>
      </w:r>
      <w:r>
        <w:t>Year-by-year analysis showed that the reform's impact remained close to zero for unexposed cohorts and only began to increase precisely when cohorts were young enough to be in school during the reform, providing strong support for the parallel trends assumption.</w:t>
      </w:r>
    </w:p>
    <w:p w:rsidR="009B1542" w:rsidRDefault="009B1542" w:rsidP="009B1542">
      <w:pPr>
        <w:rPr>
          <w:b/>
        </w:rPr>
      </w:pPr>
    </w:p>
    <w:p w:rsidR="009B1542" w:rsidRDefault="009B1542" w:rsidP="009B1542">
      <w:r>
        <w:rPr>
          <w:b/>
        </w:rPr>
        <w:lastRenderedPageBreak/>
        <w:t xml:space="preserve">Alternative Intensity Measures: </w:t>
      </w:r>
      <w:r>
        <w:t>Results were validated using the growth of schools rather than just trained teachers as the measure of reform intensity. While teachers proved to be the more binding constraint, the general patterns remained consistent across different specifications.</w:t>
      </w:r>
    </w:p>
    <w:p w:rsidR="009B1542" w:rsidRDefault="009B1542" w:rsidP="009B1542">
      <w:pPr>
        <w:rPr>
          <w:b/>
        </w:rPr>
      </w:pPr>
    </w:p>
    <w:p w:rsidR="009B1542" w:rsidRDefault="009B1542" w:rsidP="009B1542">
      <w:r>
        <w:rPr>
          <w:b/>
        </w:rPr>
        <w:t xml:space="preserve">Mobility Check: </w:t>
      </w:r>
      <w:r>
        <w:t>The sample was restricted to individuals still living in their district of birth to ensure that selective migration to better districts was not biasing the results. The findings remained substantively similar, suggesting that migration does not threaten internal validity.</w:t>
      </w:r>
    </w:p>
    <w:p w:rsidR="00842ED3" w:rsidRDefault="00842ED3"/>
    <w:p w:rsidR="007E492F" w:rsidRDefault="00C8717F" w:rsidP="000201B3">
      <w:pPr>
        <w:pStyle w:val="Heading1"/>
      </w:pPr>
      <w:r>
        <w:t>4. Important Results</w:t>
      </w:r>
    </w:p>
    <w:p w:rsidR="000201B3" w:rsidRPr="000201B3" w:rsidRDefault="000201B3" w:rsidP="000201B3"/>
    <w:p w:rsidR="00752CCB" w:rsidRDefault="00C8717F">
      <w:pPr>
        <w:pStyle w:val="Heading2"/>
      </w:pPr>
      <w:r>
        <w:t>Finding 1</w:t>
      </w:r>
    </w:p>
    <w:p w:rsidR="00DC3D11" w:rsidRDefault="00DC3D11">
      <w:pPr>
        <w:rPr>
          <w:b/>
          <w:bCs/>
        </w:rPr>
      </w:pPr>
    </w:p>
    <w:p w:rsidR="00DC3D11" w:rsidRPr="007E492F" w:rsidRDefault="00DC3D11" w:rsidP="00DC3D11">
      <w:pPr>
        <w:pStyle w:val="ListParagraph"/>
        <w:numPr>
          <w:ilvl w:val="0"/>
          <w:numId w:val="2"/>
        </w:numPr>
        <w:rPr>
          <w:rStyle w:val="ng-star-inserted"/>
        </w:rPr>
      </w:pPr>
      <w:r w:rsidRPr="007E492F">
        <w:rPr>
          <w:rStyle w:val="ng-star-inserted"/>
        </w:rPr>
        <w:t xml:space="preserve">The NESP significantly increased the educational attainment of females who were of school-going age during the reform's implementation. </w:t>
      </w:r>
    </w:p>
    <w:p w:rsidR="00DC3D11" w:rsidRPr="007E492F" w:rsidRDefault="00DC3D11" w:rsidP="00DC3D11">
      <w:pPr>
        <w:pStyle w:val="ListParagraph"/>
        <w:numPr>
          <w:ilvl w:val="0"/>
          <w:numId w:val="2"/>
        </w:numPr>
        <w:rPr>
          <w:rStyle w:val="ng-star-inserted"/>
        </w:rPr>
      </w:pPr>
      <w:r w:rsidRPr="007E492F">
        <w:rPr>
          <w:rStyle w:val="ng-star-inserted"/>
        </w:rPr>
        <w:t xml:space="preserve">For females fully exposed to the reform, an increase of one trained teacher per 100 children led to an average increase of </w:t>
      </w:r>
      <w:r w:rsidRPr="007E492F">
        <w:t>2.15 years of schooling</w:t>
      </w:r>
      <w:r w:rsidRPr="007E492F">
        <w:rPr>
          <w:rStyle w:val="ng-star-inserted"/>
        </w:rPr>
        <w:t xml:space="preserve"> and a </w:t>
      </w:r>
      <w:r w:rsidRPr="007E492F">
        <w:t>25 percentage point increase</w:t>
      </w:r>
      <w:r w:rsidRPr="007E492F">
        <w:rPr>
          <w:rStyle w:val="ng-star-inserted"/>
        </w:rPr>
        <w:t xml:space="preserve"> in the likelihood of completing the third grade. </w:t>
      </w:r>
    </w:p>
    <w:p w:rsidR="00DC3D11" w:rsidRPr="007E492F" w:rsidRDefault="00DC3D11" w:rsidP="00DC3D11">
      <w:pPr>
        <w:pStyle w:val="ListParagraph"/>
        <w:numPr>
          <w:ilvl w:val="0"/>
          <w:numId w:val="2"/>
        </w:numPr>
        <w:rPr>
          <w:rStyle w:val="ng-star-inserted"/>
        </w:rPr>
      </w:pPr>
      <w:r w:rsidRPr="007E492F">
        <w:rPr>
          <w:rStyle w:val="ng-star-inserted"/>
        </w:rPr>
        <w:t xml:space="preserve">These results are statistically significant at the </w:t>
      </w:r>
      <w:r w:rsidRPr="007E492F">
        <w:t>1% level</w:t>
      </w:r>
      <w:r w:rsidRPr="007E492F">
        <w:rPr>
          <w:rStyle w:val="ng-star-inserted"/>
        </w:rPr>
        <w:t xml:space="preserve">. </w:t>
      </w:r>
    </w:p>
    <w:p w:rsidR="00752CCB" w:rsidRPr="007E492F" w:rsidRDefault="00DC3D11" w:rsidP="00DC3D11">
      <w:pPr>
        <w:pStyle w:val="ListParagraph"/>
        <w:numPr>
          <w:ilvl w:val="0"/>
          <w:numId w:val="2"/>
        </w:numPr>
      </w:pPr>
      <w:r w:rsidRPr="007E492F">
        <w:rPr>
          <w:rStyle w:val="ng-star-inserted"/>
        </w:rPr>
        <w:t>This represents a substantial shift in a context where historical female literacy was as low as 1.8%. The reform successfully reduced the direct cost of schooling, persuading "marginal individuals" who might otherwise have received no education to enroll</w:t>
      </w:r>
    </w:p>
    <w:p w:rsidR="00752CCB" w:rsidRDefault="00C8717F">
      <w:pPr>
        <w:pStyle w:val="Heading2"/>
      </w:pPr>
      <w:r>
        <w:t>Finding 2</w:t>
      </w:r>
    </w:p>
    <w:p w:rsidR="00752CCB" w:rsidRDefault="00752CCB"/>
    <w:p w:rsidR="00DC3D11" w:rsidRDefault="00DC3D11"/>
    <w:p w:rsidR="00CB0FC9" w:rsidRPr="007E492F" w:rsidRDefault="00DC3D11" w:rsidP="00DC3D11">
      <w:pPr>
        <w:pStyle w:val="ListParagraph"/>
        <w:numPr>
          <w:ilvl w:val="0"/>
          <w:numId w:val="3"/>
        </w:numPr>
        <w:rPr>
          <w:rStyle w:val="ng-star-inserted"/>
        </w:rPr>
      </w:pPr>
      <w:r w:rsidRPr="007E492F">
        <w:rPr>
          <w:rStyle w:val="ng-star-inserted"/>
        </w:rPr>
        <w:t xml:space="preserve">The reform's impact was highly heterogeneous across caste groups, with Dalit females benefiting significantly less than those from upper-caste or Janajati households. </w:t>
      </w:r>
    </w:p>
    <w:p w:rsidR="00DC3D11" w:rsidRPr="007E492F" w:rsidRDefault="00DC3D11" w:rsidP="00DC3D11">
      <w:pPr>
        <w:pStyle w:val="ListParagraph"/>
        <w:numPr>
          <w:ilvl w:val="0"/>
          <w:numId w:val="3"/>
        </w:numPr>
        <w:rPr>
          <w:rStyle w:val="ng-star-inserted"/>
        </w:rPr>
      </w:pPr>
      <w:r w:rsidRPr="007E492F">
        <w:rPr>
          <w:rStyle w:val="ng-star-inserted"/>
        </w:rPr>
        <w:t xml:space="preserve">For upper-caste females, one additional trained teacher per 100 children increased the probability of 5th-grade completion by </w:t>
      </w:r>
      <w:r w:rsidRPr="007E492F">
        <w:t>28 percentage points</w:t>
      </w:r>
      <w:r w:rsidRPr="007E492F">
        <w:rPr>
          <w:rStyle w:val="ng-star-inserted"/>
        </w:rPr>
        <w:t xml:space="preserve">. In contrast, for Dalit females, the increase was only </w:t>
      </w:r>
      <w:r w:rsidRPr="007E492F">
        <w:t>3.3 percentage points</w:t>
      </w:r>
      <w:r w:rsidRPr="007E492F">
        <w:rPr>
          <w:rStyle w:val="ng-star-inserted"/>
        </w:rPr>
        <w:t xml:space="preserve">. </w:t>
      </w:r>
    </w:p>
    <w:p w:rsidR="00DC3D11" w:rsidRPr="007E492F" w:rsidRDefault="00DC3D11" w:rsidP="00DC3D11">
      <w:pPr>
        <w:pStyle w:val="ListParagraph"/>
        <w:numPr>
          <w:ilvl w:val="0"/>
          <w:numId w:val="3"/>
        </w:numPr>
        <w:rPr>
          <w:rStyle w:val="ng-star-inserted"/>
        </w:rPr>
      </w:pPr>
      <w:r w:rsidRPr="007E492F">
        <w:rPr>
          <w:rStyle w:val="ng-star-inserted"/>
        </w:rPr>
        <w:t xml:space="preserve">The effects for upper-caste and Janajati groups were statistically significant at the </w:t>
      </w:r>
      <w:r w:rsidRPr="007E492F">
        <w:t>1% level</w:t>
      </w:r>
      <w:r w:rsidRPr="007E492F">
        <w:rPr>
          <w:rStyle w:val="ng-star-inserted"/>
        </w:rPr>
        <w:t xml:space="preserve">, whereas the results for Dalits were </w:t>
      </w:r>
      <w:r w:rsidRPr="007E492F">
        <w:t>small and not robust</w:t>
      </w:r>
      <w:r w:rsidRPr="007E492F">
        <w:rPr>
          <w:rStyle w:val="ng-star-inserted"/>
        </w:rPr>
        <w:t xml:space="preserve"> when controlling for district-level factors. </w:t>
      </w:r>
    </w:p>
    <w:p w:rsidR="00752CCB" w:rsidRPr="007E492F" w:rsidRDefault="00DC3D11" w:rsidP="00DC3D11">
      <w:pPr>
        <w:pStyle w:val="ListParagraph"/>
        <w:numPr>
          <w:ilvl w:val="0"/>
          <w:numId w:val="3"/>
        </w:numPr>
      </w:pPr>
      <w:r w:rsidRPr="007E492F">
        <w:rPr>
          <w:rStyle w:val="ng-star-inserted"/>
        </w:rPr>
        <w:t xml:space="preserve">This finding suggests that supply-side interventions (like providing teachers) are </w:t>
      </w:r>
      <w:r w:rsidRPr="007E492F">
        <w:t>insufficient to overcome deep-seated social barriers</w:t>
      </w:r>
      <w:r w:rsidRPr="007E492F">
        <w:rPr>
          <w:rStyle w:val="ng-star-inserted"/>
        </w:rPr>
        <w:t xml:space="preserve"> and "caste-based discrimination," which can impede access to education even when it is made available</w:t>
      </w:r>
    </w:p>
    <w:p w:rsidR="00752CCB" w:rsidRDefault="00C8717F">
      <w:pPr>
        <w:pStyle w:val="Heading2"/>
      </w:pPr>
      <w:r>
        <w:t>Finding 3</w:t>
      </w:r>
    </w:p>
    <w:p w:rsidR="00A10ADE" w:rsidRPr="007E492F" w:rsidRDefault="00DC3D11" w:rsidP="00DC3D11">
      <w:pPr>
        <w:pStyle w:val="ListParagraph"/>
        <w:numPr>
          <w:ilvl w:val="0"/>
          <w:numId w:val="4"/>
        </w:numPr>
        <w:rPr>
          <w:rStyle w:val="ng-star-inserted"/>
        </w:rPr>
      </w:pPr>
      <w:r w:rsidRPr="007E492F">
        <w:rPr>
          <w:rStyle w:val="ng-star-inserted"/>
        </w:rPr>
        <w:t xml:space="preserve">The education reform produced positive multigenerational effects, but these benefits were transmitted primarily from mothers to their daughters rather than their sons. </w:t>
      </w:r>
    </w:p>
    <w:p w:rsidR="00DC3D11" w:rsidRPr="007E492F" w:rsidRDefault="00DC3D11" w:rsidP="00DC3D11">
      <w:pPr>
        <w:pStyle w:val="ListParagraph"/>
        <w:numPr>
          <w:ilvl w:val="0"/>
          <w:numId w:val="4"/>
        </w:numPr>
        <w:rPr>
          <w:rStyle w:val="ng-star-inserted"/>
        </w:rPr>
      </w:pPr>
      <w:r w:rsidRPr="007E492F">
        <w:rPr>
          <w:rStyle w:val="ng-star-inserted"/>
        </w:rPr>
        <w:t xml:space="preserve">For each additional teacher per 100 children, daughters of fully exposed mothers gained </w:t>
      </w:r>
      <w:r w:rsidRPr="007E492F">
        <w:t>0.5 additional years of schooling</w:t>
      </w:r>
      <w:r w:rsidRPr="007E492F">
        <w:rPr>
          <w:rStyle w:val="ng-star-inserted"/>
        </w:rPr>
        <w:t xml:space="preserve"> and a </w:t>
      </w:r>
      <w:r w:rsidRPr="007E492F">
        <w:t>6.9 percentage point higher probability</w:t>
      </w:r>
      <w:r w:rsidRPr="007E492F">
        <w:rPr>
          <w:rStyle w:val="ng-star-inserted"/>
        </w:rPr>
        <w:t xml:space="preserve"> of completing the 8th grade. </w:t>
      </w:r>
    </w:p>
    <w:p w:rsidR="00DC3D11" w:rsidRPr="007E492F" w:rsidRDefault="00DC3D11" w:rsidP="00DC3D11">
      <w:pPr>
        <w:pStyle w:val="ListParagraph"/>
        <w:numPr>
          <w:ilvl w:val="0"/>
          <w:numId w:val="4"/>
        </w:numPr>
        <w:rPr>
          <w:rStyle w:val="ng-star-inserted"/>
        </w:rPr>
      </w:pPr>
      <w:r w:rsidRPr="007E492F">
        <w:rPr>
          <w:rStyle w:val="ng-star-inserted"/>
        </w:rPr>
        <w:t xml:space="preserve">The effects on daughters' years of schooling were significant at the </w:t>
      </w:r>
      <w:r w:rsidRPr="007E492F">
        <w:t>5% level</w:t>
      </w:r>
      <w:r w:rsidRPr="007E492F">
        <w:rPr>
          <w:rStyle w:val="ng-star-inserted"/>
        </w:rPr>
        <w:t xml:space="preserve">, and 8th-grade completion was significant at the </w:t>
      </w:r>
      <w:r w:rsidRPr="007E492F">
        <w:t>1% level</w:t>
      </w:r>
      <w:r w:rsidRPr="007E492F">
        <w:rPr>
          <w:rStyle w:val="ng-star-inserted"/>
        </w:rPr>
        <w:t xml:space="preserve">. No such effects were present for sons. </w:t>
      </w:r>
    </w:p>
    <w:p w:rsidR="00DC3D11" w:rsidRPr="007E492F" w:rsidRDefault="00DC3D11" w:rsidP="00DC3D11">
      <w:pPr>
        <w:pStyle w:val="ListParagraph"/>
        <w:numPr>
          <w:ilvl w:val="0"/>
          <w:numId w:val="4"/>
        </w:numPr>
        <w:rPr>
          <w:rStyle w:val="ng-star-inserted"/>
        </w:rPr>
      </w:pPr>
      <w:r w:rsidRPr="007E492F">
        <w:rPr>
          <w:rStyle w:val="ng-star-inserted"/>
        </w:rPr>
        <w:lastRenderedPageBreak/>
        <w:t xml:space="preserve">This highlights the </w:t>
      </w:r>
      <w:r w:rsidRPr="007E492F">
        <w:t>high social return of educating women</w:t>
      </w:r>
      <w:r w:rsidRPr="007E492F">
        <w:rPr>
          <w:rStyle w:val="ng-star-inserted"/>
        </w:rPr>
        <w:t>; maternal education acts as a catalyst for keeping daughters in school past the primary level, helping to reduce the gender gap in the next generation</w:t>
      </w:r>
    </w:p>
    <w:p w:rsidR="00DC3D11" w:rsidRDefault="00DC3D11">
      <w:pPr>
        <w:rPr>
          <w:rStyle w:val="ng-star-inserted"/>
        </w:rPr>
      </w:pPr>
    </w:p>
    <w:p w:rsidR="00DC3D11" w:rsidRDefault="00DC3D11" w:rsidP="00DC3D11">
      <w:pPr>
        <w:pStyle w:val="Heading2"/>
      </w:pPr>
      <w:r>
        <w:t>Finding 4</w:t>
      </w:r>
    </w:p>
    <w:p w:rsidR="007E492F" w:rsidRDefault="00DC3D11" w:rsidP="007E492F">
      <w:pPr>
        <w:pStyle w:val="ListParagraph"/>
        <w:numPr>
          <w:ilvl w:val="0"/>
          <w:numId w:val="7"/>
        </w:numPr>
        <w:rPr>
          <w:rStyle w:val="ng-star-inserted"/>
        </w:rPr>
      </w:pPr>
      <w:r w:rsidRPr="007E492F">
        <w:rPr>
          <w:rStyle w:val="ng-star-inserted"/>
        </w:rPr>
        <w:t xml:space="preserve">Improved maternal education led to "assortative matching" in the marriage market, which served as a primary channel for household economic improvement. </w:t>
      </w:r>
    </w:p>
    <w:p w:rsidR="00842ED3" w:rsidRPr="007E492F" w:rsidRDefault="00DC3D11" w:rsidP="007E492F">
      <w:pPr>
        <w:pStyle w:val="ListParagraph"/>
        <w:numPr>
          <w:ilvl w:val="0"/>
          <w:numId w:val="7"/>
        </w:numPr>
        <w:rPr>
          <w:rStyle w:val="ng-star-inserted"/>
        </w:rPr>
      </w:pPr>
      <w:r w:rsidRPr="007E492F">
        <w:rPr>
          <w:rStyle w:val="ng-star-inserted"/>
        </w:rPr>
        <w:t xml:space="preserve">One additional teacher per 100 children increased the likelihood of a woman from the fully exposed cohort marrying a husband who completed the 5th and 10th grades by </w:t>
      </w:r>
      <w:r w:rsidRPr="007E492F">
        <w:t>4.5 and 7.2 percentage points</w:t>
      </w:r>
      <w:r w:rsidRPr="007E492F">
        <w:rPr>
          <w:rStyle w:val="ng-star-inserted"/>
        </w:rPr>
        <w:t xml:space="preserve">, respectively. </w:t>
      </w:r>
    </w:p>
    <w:p w:rsidR="00842ED3" w:rsidRPr="007E492F" w:rsidRDefault="00DC3D11" w:rsidP="007E492F">
      <w:pPr>
        <w:pStyle w:val="ListParagraph"/>
        <w:numPr>
          <w:ilvl w:val="0"/>
          <w:numId w:val="7"/>
        </w:numPr>
        <w:rPr>
          <w:rStyle w:val="ng-star-inserted"/>
        </w:rPr>
      </w:pPr>
      <w:r w:rsidRPr="007E492F">
        <w:rPr>
          <w:rStyle w:val="ng-star-inserted"/>
        </w:rPr>
        <w:t xml:space="preserve">These findings are statistically significant, with the 10th-grade completion effect for spouses significant at the </w:t>
      </w:r>
      <w:r w:rsidRPr="007E492F">
        <w:t>1% level</w:t>
      </w:r>
      <w:r w:rsidRPr="007E492F">
        <w:rPr>
          <w:rStyle w:val="ng-star-inserted"/>
        </w:rPr>
        <w:t xml:space="preserve">. </w:t>
      </w:r>
    </w:p>
    <w:p w:rsidR="00DC3D11" w:rsidRPr="007E492F" w:rsidRDefault="00DC3D11" w:rsidP="007E492F">
      <w:pPr>
        <w:pStyle w:val="ListParagraph"/>
        <w:numPr>
          <w:ilvl w:val="0"/>
          <w:numId w:val="7"/>
        </w:numPr>
      </w:pPr>
      <w:r w:rsidRPr="007E492F">
        <w:rPr>
          <w:rStyle w:val="ng-star-inserted"/>
        </w:rPr>
        <w:t xml:space="preserve">Because the formal labour market for women in Nepal was underdeveloped, the economic returns of education were often realized through </w:t>
      </w:r>
      <w:r w:rsidRPr="007E492F">
        <w:t>securing a more educated spouse</w:t>
      </w:r>
      <w:r w:rsidRPr="007E492F">
        <w:rPr>
          <w:rStyle w:val="ng-star-inserted"/>
        </w:rPr>
        <w:t>, which potentially increased household resources and facilitated the education of the next generation</w:t>
      </w:r>
    </w:p>
    <w:p w:rsidR="00752CCB" w:rsidRDefault="00752CCB"/>
    <w:p w:rsidR="00752CCB" w:rsidRDefault="00C8717F">
      <w:pPr>
        <w:pStyle w:val="Heading2"/>
      </w:pPr>
      <w:r>
        <w:t>Heterogeneity</w:t>
      </w:r>
    </w:p>
    <w:p w:rsidR="0095710D" w:rsidRDefault="007E492F">
      <w:pPr>
        <w:pStyle w:val="Heading1"/>
        <w:rPr>
          <w:b w:val="0"/>
          <w:bCs w:val="0"/>
          <w:color w:val="auto"/>
          <w:sz w:val="22"/>
          <w:szCs w:val="22"/>
        </w:rPr>
      </w:pPr>
      <w:r w:rsidRPr="007E492F">
        <w:rPr>
          <w:b w:val="0"/>
          <w:bCs w:val="0"/>
          <w:color w:val="auto"/>
          <w:sz w:val="22"/>
          <w:szCs w:val="22"/>
        </w:rPr>
        <w:t xml:space="preserve">The reform produced highly uneven results across different social dimensions, with the most significant educational gains concentrated among females rather than males. While upper-caste and Janajati women saw substantial improvements in schooling, Dalit females experienced minimal and non-robust benefits, likely due to deep-seated "caste-based discrimination" and the higher opportunity costs associated with poverty. </w:t>
      </w:r>
    </w:p>
    <w:p w:rsidR="007E492F" w:rsidRDefault="007E492F">
      <w:pPr>
        <w:pStyle w:val="Heading1"/>
        <w:rPr>
          <w:b w:val="0"/>
          <w:bCs w:val="0"/>
          <w:color w:val="auto"/>
          <w:sz w:val="22"/>
          <w:szCs w:val="22"/>
        </w:rPr>
      </w:pPr>
      <w:r w:rsidRPr="007E492F">
        <w:rPr>
          <w:b w:val="0"/>
          <w:bCs w:val="0"/>
          <w:color w:val="auto"/>
          <w:sz w:val="22"/>
          <w:szCs w:val="22"/>
        </w:rPr>
        <w:t>Regionally, the reform's impact varied based on district-level teacher placement, specifically targeting remote rural areas through incentives for educators.</w:t>
      </w:r>
      <w:r w:rsidR="0095710D">
        <w:rPr>
          <w:b w:val="0"/>
          <w:bCs w:val="0"/>
          <w:color w:val="auto"/>
          <w:sz w:val="22"/>
          <w:szCs w:val="22"/>
        </w:rPr>
        <w:t xml:space="preserve"> </w:t>
      </w:r>
      <w:r w:rsidRPr="007E492F">
        <w:rPr>
          <w:b w:val="0"/>
          <w:bCs w:val="0"/>
          <w:color w:val="auto"/>
          <w:sz w:val="22"/>
          <w:szCs w:val="22"/>
        </w:rPr>
        <w:t>Furthermore, the benefits of maternal education were passed down exclusively to daughters rather than sons, emphasizing that while supply-side reforms can reduce gender gaps, entrenched social hierarchies and patriarchal norms continue to dictate the distribution of human capital across generations</w:t>
      </w:r>
      <w:r>
        <w:rPr>
          <w:b w:val="0"/>
          <w:bCs w:val="0"/>
          <w:color w:val="auto"/>
          <w:sz w:val="22"/>
          <w:szCs w:val="22"/>
        </w:rPr>
        <w:t>.</w:t>
      </w:r>
    </w:p>
    <w:p w:rsidR="00752CCB" w:rsidRDefault="00C8717F">
      <w:pPr>
        <w:pStyle w:val="Heading1"/>
      </w:pPr>
      <w:r>
        <w:t>5. Limitations &amp; Open Questions</w:t>
      </w:r>
    </w:p>
    <w:p w:rsidR="00752CCB" w:rsidRDefault="00752CCB"/>
    <w:p w:rsidR="00752CCB" w:rsidRDefault="00C8717F">
      <w:r>
        <w:rPr>
          <w:b/>
          <w:bCs/>
        </w:rPr>
        <w:t xml:space="preserve">Internal Validity Concerns: </w:t>
      </w:r>
      <w:r>
        <w:t>A potential threat is survival bias over the longer study period</w:t>
      </w:r>
      <w:r w:rsidR="007E492F">
        <w:t>---</w:t>
      </w:r>
      <w:r>
        <w:t>if migration patterns or mortality rates differed systematically between high- and low-intensity districts in ways correlated with educational outcomes, this could bias the estimates. Additionally, while the parallel trends assumption appears to hold in event studies, there remains a possibility of unobserved confounding factors that coincided with the reform timing and varied by district intensity.</w:t>
      </w:r>
    </w:p>
    <w:p w:rsidR="00752CCB" w:rsidRDefault="00752CCB"/>
    <w:p w:rsidR="00752CCB" w:rsidRDefault="00C8717F">
      <w:r>
        <w:rPr>
          <w:b/>
          <w:bCs/>
        </w:rPr>
        <w:t xml:space="preserve">External Validity Concerns: </w:t>
      </w:r>
      <w:r>
        <w:t>The findings are specific to Nepal’s context in the 1970s, when female literacy was extremely low (1.8%) and caste-based social stratification was particularly rigid. The generalizability to other settings depends on similarities in baseline education levels, social hierarchies, and labor market structures. Furthermore, the study examines a blanket national reform; the results may not apply to more targeted or smaller-scale interventions. Migration spillover effects were not found to differ significantly across treatment intensity, but this does not rule out other potential spillover mechanisms.</w:t>
      </w:r>
    </w:p>
    <w:p w:rsidR="00752CCB" w:rsidRDefault="00752CCB"/>
    <w:p w:rsidR="00752CCB" w:rsidRDefault="00C8717F">
      <w:r>
        <w:rPr>
          <w:b/>
          <w:bCs/>
        </w:rPr>
        <w:lastRenderedPageBreak/>
        <w:t xml:space="preserve">Unanswered Questions: </w:t>
      </w:r>
      <w:r>
        <w:t>The study identifies that Dalits did not benefit from the reform but does not fully explain the mechanisms behind this disparity. Were Dalit children prevented from entering classes due to discrimination? Did they face social barriers within schools? Or was there lower intrinsic motivation due to limited perceived returns to education?</w:t>
      </w:r>
      <w:r w:rsidR="007E492F">
        <w:t xml:space="preserve"> </w:t>
      </w:r>
      <w:r>
        <w:t>Additionally, the study does not explore whether complementary demand-side interventions (such as conditional cash transfers or anti-discrimination policies) could have improved outcomes for marginalized groups.</w:t>
      </w:r>
    </w:p>
    <w:p w:rsidR="00752CCB" w:rsidRDefault="00752CCB"/>
    <w:p w:rsidR="00752CCB" w:rsidRDefault="00C8717F">
      <w:r>
        <w:rPr>
          <w:b/>
          <w:bCs/>
        </w:rPr>
        <w:t xml:space="preserve">Future Research Needed: </w:t>
      </w:r>
      <w:r>
        <w:t xml:space="preserve">Future studies should reformulate the analysis using more natural experiments or randomized controlled trials that can better isolate the effects of different policy components. Research is needed to identify which specific barriers (social discrimination, economic constraints, or motivational factors) prevent marginalized groups from benefiting from supply-side reforms. </w:t>
      </w:r>
    </w:p>
    <w:p w:rsidR="00752CCB" w:rsidRDefault="00C8717F">
      <w:pPr>
        <w:pStyle w:val="Heading1"/>
      </w:pPr>
      <w:r>
        <w:t>6. Applicability to Nepal</w:t>
      </w:r>
    </w:p>
    <w:p w:rsidR="00752CCB" w:rsidRDefault="00752CCB"/>
    <w:p w:rsidR="00752CCB" w:rsidRDefault="00C8717F">
      <w:pPr>
        <w:pStyle w:val="Heading2"/>
      </w:pPr>
      <w:r>
        <w:t>Contextual Similarity</w:t>
      </w:r>
    </w:p>
    <w:p w:rsidR="00C17C58" w:rsidRDefault="00C17C58">
      <w:pPr>
        <w:rPr>
          <w:i/>
          <w:iCs/>
          <w:color w:val="7F8C8D"/>
          <w:sz w:val="20"/>
          <w:szCs w:val="20"/>
        </w:rPr>
      </w:pPr>
    </w:p>
    <w:p w:rsidR="00752CCB" w:rsidRDefault="00C8717F">
      <w:r>
        <w:t>This study is directly about Nepal, analyzing the National Education System Plan implemented between 1971-1976. However, Nepal today differs significantly from the Nepal of the 1970s. Female literacy has increased substantially from the baseline of 1.8%, though gender and caste disparities persist. While the institutional context has evolved, many structural similarities remain: caste-based social stratification continues to affect educational and economic opportunities, rural-urban disparities in education access persist, and women’s labor market participation remains constrained. The lessons from this historical reform are therefore highly relevant for understanding how current policies might interact with persistent social barriers.</w:t>
      </w:r>
    </w:p>
    <w:p w:rsidR="00752CCB" w:rsidRDefault="00752CCB"/>
    <w:p w:rsidR="00752CCB" w:rsidRDefault="00C8717F">
      <w:pPr>
        <w:pStyle w:val="Heading2"/>
      </w:pPr>
      <w:r>
        <w:t>Implementation Considerations</w:t>
      </w:r>
    </w:p>
    <w:p w:rsidR="00C17C58" w:rsidRDefault="00C17C58">
      <w:pPr>
        <w:rPr>
          <w:i/>
          <w:iCs/>
          <w:color w:val="7F8C8D"/>
          <w:sz w:val="20"/>
          <w:szCs w:val="20"/>
        </w:rPr>
      </w:pPr>
    </w:p>
    <w:p w:rsidR="001A472C" w:rsidRDefault="001A472C">
      <w:r>
        <w:t>T</w:t>
      </w:r>
      <w:r w:rsidR="00C8717F">
        <w:t xml:space="preserve">his study examines a historical Nepali reform. Key adaptations needed for modern Nepal include: </w:t>
      </w:r>
    </w:p>
    <w:p w:rsidR="001A472C" w:rsidRDefault="00C8717F" w:rsidP="001A472C">
      <w:pPr>
        <w:pStyle w:val="ListParagraph"/>
        <w:numPr>
          <w:ilvl w:val="0"/>
          <w:numId w:val="5"/>
        </w:numPr>
      </w:pPr>
      <w:r>
        <w:t>Combining supply-side reforms (teacher training, infrastructure) with targeted demand-side interventions (scholarships, conditional transfers) specifically for Dalit and other marginalized communities</w:t>
      </w:r>
    </w:p>
    <w:p w:rsidR="001A472C" w:rsidRDefault="00C8717F" w:rsidP="001A472C">
      <w:pPr>
        <w:pStyle w:val="ListParagraph"/>
        <w:numPr>
          <w:ilvl w:val="0"/>
          <w:numId w:val="5"/>
        </w:numPr>
      </w:pPr>
      <w:r>
        <w:t>Implementing anti-discrimination policies and monitoring mechanisms within schools to ensure marginalized students can actually access and benefit from available education</w:t>
      </w:r>
    </w:p>
    <w:p w:rsidR="001A472C" w:rsidRDefault="00C8717F" w:rsidP="001A472C">
      <w:pPr>
        <w:pStyle w:val="ListParagraph"/>
        <w:numPr>
          <w:ilvl w:val="0"/>
          <w:numId w:val="5"/>
        </w:numPr>
      </w:pPr>
      <w:r>
        <w:t>Developing complementary labor market policies that create economic opportunities for educated women beyond marriage markets</w:t>
      </w:r>
    </w:p>
    <w:p w:rsidR="00752CCB" w:rsidRDefault="00C8717F" w:rsidP="001A472C">
      <w:pPr>
        <w:pStyle w:val="ListParagraph"/>
        <w:numPr>
          <w:ilvl w:val="0"/>
          <w:numId w:val="5"/>
        </w:numPr>
      </w:pPr>
      <w:r>
        <w:t>Designing programs with explicit equity goals and disaggregated monitoring by caste, gender, and region to identify and address differential impacts early.</w:t>
      </w:r>
    </w:p>
    <w:p w:rsidR="00752CCB" w:rsidRDefault="00752CCB"/>
    <w:p w:rsidR="00752CCB" w:rsidRDefault="00C8717F">
      <w:pPr>
        <w:pStyle w:val="Heading2"/>
      </w:pPr>
      <w:r>
        <w:t>Existing Evidence from Nepal</w:t>
      </w:r>
    </w:p>
    <w:p w:rsidR="0066038B" w:rsidRDefault="0066038B">
      <w:pPr>
        <w:rPr>
          <w:i/>
          <w:iCs/>
          <w:color w:val="7F8C8D"/>
          <w:sz w:val="20"/>
          <w:szCs w:val="20"/>
        </w:rPr>
      </w:pPr>
    </w:p>
    <w:p w:rsidR="0095710D" w:rsidRDefault="0095710D" w:rsidP="0095710D">
      <w:r>
        <w:t xml:space="preserve">This paper provides primary evidence from Nepal on the long-term effects of the NESP reform. Its findings align with broader evidence on persistent educational inequalities by caste and gender in Nepal. The continued underrepresentation of Dalits in higher education </w:t>
      </w:r>
      <w:r>
        <w:lastRenderedPageBreak/>
        <w:t>and professional sectors, documented in various national surveys and reports, validates this study's finding that supply-side interventions alone are insufficient.</w:t>
      </w:r>
    </w:p>
    <w:p w:rsidR="0095710D" w:rsidRDefault="0095710D" w:rsidP="0095710D"/>
    <w:p w:rsidR="0095710D" w:rsidRDefault="0095710D" w:rsidP="0095710D">
      <w:r>
        <w:t>The multigenerational transmission of educational benefits from mothers to daughters is consistent with evidence from Nepal Living Standards Surveys showing strong correlations between maternal education and children's schooling, particularly for girls. The finding that female educational gains materialize through marriage markets rather than labor force participation also aligns with Nepal's persistently low female labor force participation rates despite rising educational attainment.</w:t>
      </w:r>
    </w:p>
    <w:p w:rsidR="00752CCB" w:rsidRDefault="00752CCB"/>
    <w:p w:rsidR="00752CCB" w:rsidRDefault="00C8717F">
      <w:pPr>
        <w:pStyle w:val="Heading2"/>
      </w:pPr>
      <w:r>
        <w:t>Policy Entry Points</w:t>
      </w:r>
    </w:p>
    <w:p w:rsidR="0066038B" w:rsidRDefault="0066038B">
      <w:pPr>
        <w:rPr>
          <w:i/>
          <w:iCs/>
          <w:color w:val="7F8C8D"/>
          <w:sz w:val="20"/>
          <w:szCs w:val="20"/>
        </w:rPr>
      </w:pPr>
    </w:p>
    <w:p w:rsidR="00752CCB" w:rsidRDefault="00CF6519">
      <w:r>
        <w:t>T</w:t>
      </w:r>
      <w:r w:rsidR="00C8717F">
        <w:t>he Ministry of Education, Science and Technology, could integrate these insights into the School Sector Development Plan</w:t>
      </w:r>
      <w:r>
        <w:t>(2022-2032)</w:t>
      </w:r>
      <w:r w:rsidR="00C8717F">
        <w:t xml:space="preserve"> and teacher deployment strategies. Existing programs that could incorporate these lessons include: the Dalit scholarship programs (which should be expanded and better monitored), the School Sector Development Programme (which should include explicit equity metrics), and teacher training curricula (which should </w:t>
      </w:r>
      <w:r w:rsidR="001A472C">
        <w:t xml:space="preserve">include </w:t>
      </w:r>
      <w:r w:rsidR="00C8717F">
        <w:t xml:space="preserve">modules on inclusive pedagogy). </w:t>
      </w:r>
    </w:p>
    <w:p w:rsidR="00752CCB" w:rsidRPr="00853500" w:rsidRDefault="00C8717F" w:rsidP="00853500">
      <w:pPr>
        <w:pStyle w:val="Heading1"/>
      </w:pPr>
      <w:r>
        <w:t>7. Policy Implications</w:t>
      </w:r>
    </w:p>
    <w:p w:rsidR="00752CCB" w:rsidRDefault="00752CCB"/>
    <w:p w:rsidR="00C17C58" w:rsidRDefault="00C8717F">
      <w:r>
        <w:t xml:space="preserve">(1) Education reforms must go beyond supply-side interventions. While providing trained teachers and infrastructure is necessary, these alone are insufficient to overcome social barriers. Programs targeting marginalized groups (especially Dalits) should combine supply-side improvements with demand-side support (scholarships, conditional cash transfers) and active anti-discrimination measures within schools. </w:t>
      </w:r>
    </w:p>
    <w:p w:rsidR="00C17C58" w:rsidRDefault="00C17C58"/>
    <w:p w:rsidR="00C17C58" w:rsidRDefault="00C8717F">
      <w:r>
        <w:t xml:space="preserve">(2) Recognize that educating women generates substantial multigenerational benefits, particularly for daughters. Investments in girls’ education should be prioritized as they yield compounding social returns across generations. </w:t>
      </w:r>
    </w:p>
    <w:p w:rsidR="00C17C58" w:rsidRDefault="00C17C58"/>
    <w:p w:rsidR="00C17C58" w:rsidRDefault="00C8717F">
      <w:r>
        <w:t xml:space="preserve">(3) Develop complementary labor market policies to ensure that women’s educational gains translate into economic empowerment. </w:t>
      </w:r>
      <w:r w:rsidR="00531CEF">
        <w:t>B</w:t>
      </w:r>
      <w:r>
        <w:t>enefits</w:t>
      </w:r>
      <w:r w:rsidR="00531CEF">
        <w:t xml:space="preserve"> were</w:t>
      </w:r>
      <w:r>
        <w:t xml:space="preserve"> materialize</w:t>
      </w:r>
      <w:r w:rsidR="00531CEF">
        <w:t>d</w:t>
      </w:r>
      <w:r>
        <w:t xml:space="preserve"> primarily through marriage markets rather than direct employment, indicating a need for policies that strengthen female labor force participation. </w:t>
      </w:r>
    </w:p>
    <w:p w:rsidR="00C17C58" w:rsidRDefault="00C17C58"/>
    <w:p w:rsidR="00752CCB" w:rsidRDefault="00C8717F">
      <w:r>
        <w:t>(4) Design education policies with explicit equity monitoring, disaggregating outcomes by caste, gender, and region from the outset. This study demonstrates that blanket reforms can exacerbate inequalities even when average effects are positive, making targeted</w:t>
      </w:r>
      <w:r w:rsidR="00C17C58">
        <w:t xml:space="preserve"> </w:t>
      </w:r>
      <w:r>
        <w:t>interventions essential for equitable outcomes.</w:t>
      </w:r>
    </w:p>
    <w:p w:rsidR="00752CCB" w:rsidRDefault="00C8717F">
      <w:pPr>
        <w:pStyle w:val="Heading1"/>
      </w:pPr>
      <w:r>
        <w:t>Keywords</w:t>
      </w:r>
    </w:p>
    <w:p w:rsidR="0095710D" w:rsidRDefault="0095710D" w:rsidP="0095710D">
      <w:r>
        <w:t>Difference-in-Differences • Nepal • Equity • Female Education • Multigenerational • Educational Reforms</w:t>
      </w:r>
    </w:p>
    <w:p w:rsidR="00752CCB" w:rsidRDefault="00C8717F">
      <w:pPr>
        <w:pStyle w:val="Heading1"/>
      </w:pPr>
      <w:r>
        <w:t>Citation</w:t>
      </w:r>
    </w:p>
    <w:p w:rsidR="0095710D" w:rsidRDefault="0095710D" w:rsidP="0095710D">
      <w:r>
        <w:t>Vinish Shrestha, Rashesh Shrestha. 2019. Evidence Brief: Multigenerational Effects of Education Reform: Mother's Education and Children's Human Capital in Nepal. Nepal Evidence for Policy Project.</w:t>
      </w:r>
    </w:p>
    <w:p w:rsidR="00752CCB" w:rsidRDefault="00752CCB" w:rsidP="00CD0B87">
      <w:pPr>
        <w:pBdr>
          <w:top w:val="nil"/>
          <w:left w:val="nil"/>
          <w:bottom w:val="nil"/>
          <w:right w:val="nil"/>
          <w:between w:val="nil"/>
        </w:pBdr>
      </w:pPr>
    </w:p>
    <w:sectPr w:rsidR="00752CC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3A3F" w:rsidRDefault="00B33A3F">
      <w:r>
        <w:separator/>
      </w:r>
    </w:p>
  </w:endnote>
  <w:endnote w:type="continuationSeparator" w:id="0">
    <w:p w:rsidR="00B33A3F" w:rsidRDefault="00B33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86EADD2-6004-4BE7-B0EE-7BAFBB4DBE41}"/>
  </w:font>
  <w:font w:name="Calibri">
    <w:panose1 w:val="020F0502020204030204"/>
    <w:charset w:val="00"/>
    <w:family w:val="swiss"/>
    <w:pitch w:val="variable"/>
    <w:sig w:usb0="E4002EFF" w:usb1="C200247B" w:usb2="00000009" w:usb3="00000000" w:csb0="000001FF" w:csb1="00000000"/>
    <w:embedRegular r:id="rId2" w:fontKey="{DFAF2AFF-D8C5-4695-B2A8-17B7A0242101}"/>
  </w:font>
  <w:font w:name="Mangal">
    <w:panose1 w:val="00000400000000000000"/>
    <w:charset w:val="00"/>
    <w:family w:val="roman"/>
    <w:pitch w:val="variable"/>
    <w:sig w:usb0="00008003" w:usb1="00000000" w:usb2="00000000" w:usb3="00000000" w:csb0="00000001" w:csb1="00000000"/>
    <w:embedRegular r:id="rId3" w:fontKey="{B3328B1A-AB3B-401D-8461-3A6F224CA4D0}"/>
  </w:font>
  <w:font w:name="Cambria">
    <w:panose1 w:val="02040503050406030204"/>
    <w:charset w:val="00"/>
    <w:family w:val="roman"/>
    <w:pitch w:val="variable"/>
    <w:sig w:usb0="E00006FF" w:usb1="420024FF" w:usb2="02000000" w:usb3="00000000" w:csb0="0000019F" w:csb1="00000000"/>
    <w:embedRegular r:id="rId4" w:fontKey="{02E3D905-D0CF-4B49-AA05-CF1031D591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51AB8" w:rsidRDefault="00751A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52CCB" w:rsidRDefault="00C8717F">
    <w:pPr>
      <w:jc w:val="cente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DC3D11">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DC3D11">
      <w:rPr>
        <w:noProof/>
        <w:sz w:val="18"/>
        <w:szCs w:val="18"/>
      </w:rPr>
      <w:t>2</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51AB8" w:rsidRDefault="00751A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3A3F" w:rsidRDefault="00B33A3F">
      <w:r>
        <w:separator/>
      </w:r>
    </w:p>
  </w:footnote>
  <w:footnote w:type="continuationSeparator" w:id="0">
    <w:p w:rsidR="00B33A3F" w:rsidRDefault="00B33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51AB8" w:rsidRDefault="00751A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52CCB" w:rsidRDefault="00C8717F">
    <w:pPr>
      <w:jc w:val="right"/>
    </w:pPr>
    <w:r>
      <w:rPr>
        <w:i/>
        <w:iCs/>
        <w:color w:val="7F8C8D"/>
        <w:sz w:val="18"/>
        <w:szCs w:val="18"/>
      </w:rPr>
      <w:t xml:space="preserve">Evidence Brief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51AB8" w:rsidRDefault="00751A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EA0648"/>
    <w:multiLevelType w:val="multilevel"/>
    <w:tmpl w:val="50CC1ABE"/>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D974394"/>
    <w:multiLevelType w:val="hybridMultilevel"/>
    <w:tmpl w:val="A8CE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8B1371"/>
    <w:multiLevelType w:val="hybridMultilevel"/>
    <w:tmpl w:val="EEB0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2E711A"/>
    <w:multiLevelType w:val="hybridMultilevel"/>
    <w:tmpl w:val="A028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6A7C16"/>
    <w:multiLevelType w:val="hybridMultilevel"/>
    <w:tmpl w:val="65FA8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64190F"/>
    <w:multiLevelType w:val="hybridMultilevel"/>
    <w:tmpl w:val="F470F2B0"/>
    <w:lvl w:ilvl="0" w:tplc="D966D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8D0D1F"/>
    <w:multiLevelType w:val="hybridMultilevel"/>
    <w:tmpl w:val="13F60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075AB3"/>
    <w:multiLevelType w:val="hybridMultilevel"/>
    <w:tmpl w:val="8FE8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910198"/>
    <w:multiLevelType w:val="hybridMultilevel"/>
    <w:tmpl w:val="9622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F075B3"/>
    <w:multiLevelType w:val="hybridMultilevel"/>
    <w:tmpl w:val="92EA89E2"/>
    <w:lvl w:ilvl="0" w:tplc="04090001">
      <w:start w:val="1"/>
      <w:numFmt w:val="bullet"/>
      <w:lvlText w:val=""/>
      <w:lvlJc w:val="left"/>
      <w:pPr>
        <w:ind w:left="720" w:hanging="360"/>
      </w:pPr>
      <w:rPr>
        <w:rFonts w:ascii="Symbol" w:hAnsi="Symbol" w:hint="default"/>
      </w:rPr>
    </w:lvl>
    <w:lvl w:ilvl="1" w:tplc="064AB7A2">
      <w:start w:val="4"/>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1"/>
  </w:num>
  <w:num w:numId="6">
    <w:abstractNumId w:val="5"/>
  </w:num>
  <w:num w:numId="7">
    <w:abstractNumId w:val="8"/>
  </w:num>
  <w:num w:numId="8">
    <w:abstractNumId w:val="7"/>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CCB"/>
    <w:rsid w:val="000201B3"/>
    <w:rsid w:val="000406DC"/>
    <w:rsid w:val="000768EA"/>
    <w:rsid w:val="000854F5"/>
    <w:rsid w:val="001A472C"/>
    <w:rsid w:val="00282E5F"/>
    <w:rsid w:val="00364858"/>
    <w:rsid w:val="004201D1"/>
    <w:rsid w:val="00531CEF"/>
    <w:rsid w:val="005457D6"/>
    <w:rsid w:val="0066038B"/>
    <w:rsid w:val="00667505"/>
    <w:rsid w:val="006A6050"/>
    <w:rsid w:val="006E573F"/>
    <w:rsid w:val="007237EC"/>
    <w:rsid w:val="00751AB8"/>
    <w:rsid w:val="00752CCB"/>
    <w:rsid w:val="007709B6"/>
    <w:rsid w:val="007E492F"/>
    <w:rsid w:val="00842ED3"/>
    <w:rsid w:val="00853500"/>
    <w:rsid w:val="00955330"/>
    <w:rsid w:val="0095710D"/>
    <w:rsid w:val="009A1324"/>
    <w:rsid w:val="009B1542"/>
    <w:rsid w:val="009C2CF4"/>
    <w:rsid w:val="009F474A"/>
    <w:rsid w:val="009F66AC"/>
    <w:rsid w:val="00A10ADE"/>
    <w:rsid w:val="00B05655"/>
    <w:rsid w:val="00B13038"/>
    <w:rsid w:val="00B13220"/>
    <w:rsid w:val="00B33A3F"/>
    <w:rsid w:val="00B55D8A"/>
    <w:rsid w:val="00BE168D"/>
    <w:rsid w:val="00C17C58"/>
    <w:rsid w:val="00C8717F"/>
    <w:rsid w:val="00CB0FC9"/>
    <w:rsid w:val="00CD0B87"/>
    <w:rsid w:val="00CF6519"/>
    <w:rsid w:val="00D2733A"/>
    <w:rsid w:val="00DC3D11"/>
    <w:rsid w:val="00DE4E35"/>
    <w:rsid w:val="00E504A2"/>
    <w:rsid w:val="00E67DB8"/>
    <w:rsid w:val="00F526D6"/>
    <w:rsid w:val="00F87D99"/>
    <w:rsid w:val="00F931D1"/>
    <w:rsid w:val="00FD4A8C"/>
    <w:rsid w:val="00FF51E9"/>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D7698"/>
  <w15:docId w15:val="{DD011D60-FCDA-4FDE-93C3-C120BEE0D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ne-NP"/>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120"/>
      <w:outlineLvl w:val="0"/>
    </w:pPr>
    <w:rPr>
      <w:b/>
      <w:bCs/>
      <w:color w:val="1B4F72"/>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40" w:after="80"/>
      <w:outlineLvl w:val="1"/>
    </w:pPr>
    <w:rPr>
      <w:b/>
      <w:bCs/>
      <w:color w:val="2E86AB"/>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after="240"/>
      <w:jc w:val="center"/>
    </w:pPr>
    <w:rPr>
      <w:b/>
      <w:bCs/>
      <w:color w:val="1B4F72"/>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customStyle="1" w:styleId="ng-star-inserted">
    <w:name w:val="ng-star-inserted"/>
    <w:basedOn w:val="DefaultParagraphFont"/>
    <w:rsid w:val="00DC3D11"/>
  </w:style>
  <w:style w:type="paragraph" w:styleId="ListParagraph">
    <w:name w:val="List Paragraph"/>
    <w:basedOn w:val="Normal"/>
    <w:uiPriority w:val="34"/>
    <w:qFormat/>
    <w:rsid w:val="00DC3D11"/>
    <w:pPr>
      <w:ind w:left="720"/>
      <w:contextualSpacing/>
    </w:pPr>
    <w:rPr>
      <w:szCs w:val="20"/>
    </w:rPr>
  </w:style>
  <w:style w:type="character" w:styleId="Hyperlink">
    <w:name w:val="Hyperlink"/>
    <w:basedOn w:val="DefaultParagraphFont"/>
    <w:uiPriority w:val="99"/>
    <w:unhideWhenUsed/>
    <w:rsid w:val="000854F5"/>
    <w:rPr>
      <w:color w:val="0000FF" w:themeColor="hyperlink"/>
      <w:u w:val="single"/>
    </w:rPr>
  </w:style>
  <w:style w:type="character" w:styleId="UnresolvedMention">
    <w:name w:val="Unresolved Mention"/>
    <w:basedOn w:val="DefaultParagraphFont"/>
    <w:uiPriority w:val="99"/>
    <w:semiHidden/>
    <w:unhideWhenUsed/>
    <w:rsid w:val="000854F5"/>
    <w:rPr>
      <w:color w:val="605E5C"/>
      <w:shd w:val="clear" w:color="auto" w:fill="E1DFDD"/>
    </w:rPr>
  </w:style>
  <w:style w:type="paragraph" w:styleId="Header">
    <w:name w:val="header"/>
    <w:basedOn w:val="Normal"/>
    <w:link w:val="HeaderChar"/>
    <w:uiPriority w:val="99"/>
    <w:unhideWhenUsed/>
    <w:rsid w:val="00751AB8"/>
    <w:pPr>
      <w:tabs>
        <w:tab w:val="center" w:pos="4680"/>
        <w:tab w:val="right" w:pos="9360"/>
      </w:tabs>
    </w:pPr>
    <w:rPr>
      <w:szCs w:val="20"/>
    </w:rPr>
  </w:style>
  <w:style w:type="character" w:customStyle="1" w:styleId="HeaderChar">
    <w:name w:val="Header Char"/>
    <w:basedOn w:val="DefaultParagraphFont"/>
    <w:link w:val="Header"/>
    <w:uiPriority w:val="99"/>
    <w:rsid w:val="00751AB8"/>
    <w:rPr>
      <w:szCs w:val="20"/>
    </w:rPr>
  </w:style>
  <w:style w:type="paragraph" w:styleId="Footer">
    <w:name w:val="footer"/>
    <w:basedOn w:val="Normal"/>
    <w:link w:val="FooterChar"/>
    <w:uiPriority w:val="99"/>
    <w:unhideWhenUsed/>
    <w:rsid w:val="00751AB8"/>
    <w:pPr>
      <w:tabs>
        <w:tab w:val="center" w:pos="4680"/>
        <w:tab w:val="right" w:pos="9360"/>
      </w:tabs>
    </w:pPr>
    <w:rPr>
      <w:szCs w:val="20"/>
    </w:rPr>
  </w:style>
  <w:style w:type="character" w:customStyle="1" w:styleId="FooterChar">
    <w:name w:val="Footer Char"/>
    <w:basedOn w:val="DefaultParagraphFont"/>
    <w:link w:val="Footer"/>
    <w:uiPriority w:val="99"/>
    <w:rsid w:val="00751AB8"/>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0073104">
      <w:bodyDiv w:val="1"/>
      <w:marLeft w:val="0"/>
      <w:marRight w:val="0"/>
      <w:marTop w:val="0"/>
      <w:marBottom w:val="0"/>
      <w:divBdr>
        <w:top w:val="none" w:sz="0" w:space="0" w:color="auto"/>
        <w:left w:val="none" w:sz="0" w:space="0" w:color="auto"/>
        <w:bottom w:val="none" w:sz="0" w:space="0" w:color="auto"/>
        <w:right w:val="none" w:sz="0" w:space="0" w:color="auto"/>
      </w:divBdr>
      <w:divsChild>
        <w:div w:id="896817456">
          <w:marLeft w:val="0"/>
          <w:marRight w:val="0"/>
          <w:marTop w:val="0"/>
          <w:marBottom w:val="0"/>
          <w:divBdr>
            <w:top w:val="none" w:sz="0" w:space="0" w:color="auto"/>
            <w:left w:val="none" w:sz="0" w:space="0" w:color="auto"/>
            <w:bottom w:val="none" w:sz="0" w:space="0" w:color="auto"/>
            <w:right w:val="none" w:sz="0" w:space="0" w:color="auto"/>
          </w:divBdr>
        </w:div>
        <w:div w:id="664432989">
          <w:marLeft w:val="0"/>
          <w:marRight w:val="0"/>
          <w:marTop w:val="0"/>
          <w:marBottom w:val="0"/>
          <w:divBdr>
            <w:top w:val="none" w:sz="0" w:space="0" w:color="auto"/>
            <w:left w:val="none" w:sz="0" w:space="0" w:color="auto"/>
            <w:bottom w:val="none" w:sz="0" w:space="0" w:color="auto"/>
            <w:right w:val="none" w:sz="0" w:space="0" w:color="auto"/>
          </w:divBdr>
        </w:div>
        <w:div w:id="482818660">
          <w:marLeft w:val="0"/>
          <w:marRight w:val="0"/>
          <w:marTop w:val="0"/>
          <w:marBottom w:val="0"/>
          <w:divBdr>
            <w:top w:val="none" w:sz="0" w:space="0" w:color="auto"/>
            <w:left w:val="none" w:sz="0" w:space="0" w:color="auto"/>
            <w:bottom w:val="none" w:sz="0" w:space="0" w:color="auto"/>
            <w:right w:val="none" w:sz="0" w:space="0" w:color="auto"/>
          </w:divBdr>
        </w:div>
      </w:divsChild>
    </w:div>
    <w:div w:id="1014381921">
      <w:bodyDiv w:val="1"/>
      <w:marLeft w:val="0"/>
      <w:marRight w:val="0"/>
      <w:marTop w:val="0"/>
      <w:marBottom w:val="0"/>
      <w:divBdr>
        <w:top w:val="none" w:sz="0" w:space="0" w:color="auto"/>
        <w:left w:val="none" w:sz="0" w:space="0" w:color="auto"/>
        <w:bottom w:val="none" w:sz="0" w:space="0" w:color="auto"/>
        <w:right w:val="none" w:sz="0" w:space="0" w:color="auto"/>
      </w:divBdr>
      <w:divsChild>
        <w:div w:id="1544828399">
          <w:marLeft w:val="0"/>
          <w:marRight w:val="0"/>
          <w:marTop w:val="0"/>
          <w:marBottom w:val="0"/>
          <w:divBdr>
            <w:top w:val="none" w:sz="0" w:space="0" w:color="auto"/>
            <w:left w:val="none" w:sz="0" w:space="0" w:color="auto"/>
            <w:bottom w:val="none" w:sz="0" w:space="0" w:color="auto"/>
            <w:right w:val="none" w:sz="0" w:space="0" w:color="auto"/>
          </w:divBdr>
        </w:div>
      </w:divsChild>
    </w:div>
    <w:div w:id="1087267795">
      <w:bodyDiv w:val="1"/>
      <w:marLeft w:val="0"/>
      <w:marRight w:val="0"/>
      <w:marTop w:val="0"/>
      <w:marBottom w:val="0"/>
      <w:divBdr>
        <w:top w:val="none" w:sz="0" w:space="0" w:color="auto"/>
        <w:left w:val="none" w:sz="0" w:space="0" w:color="auto"/>
        <w:bottom w:val="none" w:sz="0" w:space="0" w:color="auto"/>
        <w:right w:val="none" w:sz="0" w:space="0" w:color="auto"/>
      </w:divBdr>
      <w:divsChild>
        <w:div w:id="47804399">
          <w:marLeft w:val="0"/>
          <w:marRight w:val="0"/>
          <w:marTop w:val="0"/>
          <w:marBottom w:val="0"/>
          <w:divBdr>
            <w:top w:val="none" w:sz="0" w:space="0" w:color="auto"/>
            <w:left w:val="none" w:sz="0" w:space="0" w:color="auto"/>
            <w:bottom w:val="none" w:sz="0" w:space="0" w:color="auto"/>
            <w:right w:val="none" w:sz="0" w:space="0" w:color="auto"/>
          </w:divBdr>
        </w:div>
        <w:div w:id="1549418224">
          <w:marLeft w:val="0"/>
          <w:marRight w:val="0"/>
          <w:marTop w:val="0"/>
          <w:marBottom w:val="0"/>
          <w:divBdr>
            <w:top w:val="none" w:sz="0" w:space="0" w:color="auto"/>
            <w:left w:val="none" w:sz="0" w:space="0" w:color="auto"/>
            <w:bottom w:val="none" w:sz="0" w:space="0" w:color="auto"/>
            <w:right w:val="none" w:sz="0" w:space="0" w:color="auto"/>
          </w:divBdr>
        </w:div>
        <w:div w:id="280693656">
          <w:marLeft w:val="0"/>
          <w:marRight w:val="0"/>
          <w:marTop w:val="0"/>
          <w:marBottom w:val="0"/>
          <w:divBdr>
            <w:top w:val="none" w:sz="0" w:space="0" w:color="auto"/>
            <w:left w:val="none" w:sz="0" w:space="0" w:color="auto"/>
            <w:bottom w:val="none" w:sz="0" w:space="0" w:color="auto"/>
            <w:right w:val="none" w:sz="0" w:space="0" w:color="auto"/>
          </w:divBdr>
        </w:div>
      </w:divsChild>
    </w:div>
    <w:div w:id="1092581583">
      <w:bodyDiv w:val="1"/>
      <w:marLeft w:val="0"/>
      <w:marRight w:val="0"/>
      <w:marTop w:val="0"/>
      <w:marBottom w:val="0"/>
      <w:divBdr>
        <w:top w:val="none" w:sz="0" w:space="0" w:color="auto"/>
        <w:left w:val="none" w:sz="0" w:space="0" w:color="auto"/>
        <w:bottom w:val="none" w:sz="0" w:space="0" w:color="auto"/>
        <w:right w:val="none" w:sz="0" w:space="0" w:color="auto"/>
      </w:divBdr>
      <w:divsChild>
        <w:div w:id="338390939">
          <w:marLeft w:val="0"/>
          <w:marRight w:val="0"/>
          <w:marTop w:val="0"/>
          <w:marBottom w:val="0"/>
          <w:divBdr>
            <w:top w:val="none" w:sz="0" w:space="0" w:color="auto"/>
            <w:left w:val="none" w:sz="0" w:space="0" w:color="auto"/>
            <w:bottom w:val="none" w:sz="0" w:space="0" w:color="auto"/>
            <w:right w:val="none" w:sz="0" w:space="0" w:color="auto"/>
          </w:divBdr>
        </w:div>
      </w:divsChild>
    </w:div>
    <w:div w:id="1191603670">
      <w:bodyDiv w:val="1"/>
      <w:marLeft w:val="0"/>
      <w:marRight w:val="0"/>
      <w:marTop w:val="0"/>
      <w:marBottom w:val="0"/>
      <w:divBdr>
        <w:top w:val="none" w:sz="0" w:space="0" w:color="auto"/>
        <w:left w:val="none" w:sz="0" w:space="0" w:color="auto"/>
        <w:bottom w:val="none" w:sz="0" w:space="0" w:color="auto"/>
        <w:right w:val="none" w:sz="0" w:space="0" w:color="auto"/>
      </w:divBdr>
      <w:divsChild>
        <w:div w:id="835417303">
          <w:marLeft w:val="0"/>
          <w:marRight w:val="0"/>
          <w:marTop w:val="0"/>
          <w:marBottom w:val="0"/>
          <w:divBdr>
            <w:top w:val="none" w:sz="0" w:space="0" w:color="auto"/>
            <w:left w:val="none" w:sz="0" w:space="0" w:color="auto"/>
            <w:bottom w:val="none" w:sz="0" w:space="0" w:color="auto"/>
            <w:right w:val="none" w:sz="0" w:space="0" w:color="auto"/>
          </w:divBdr>
        </w:div>
        <w:div w:id="96564577">
          <w:marLeft w:val="0"/>
          <w:marRight w:val="0"/>
          <w:marTop w:val="0"/>
          <w:marBottom w:val="0"/>
          <w:divBdr>
            <w:top w:val="none" w:sz="0" w:space="0" w:color="auto"/>
            <w:left w:val="none" w:sz="0" w:space="0" w:color="auto"/>
            <w:bottom w:val="none" w:sz="0" w:space="0" w:color="auto"/>
            <w:right w:val="none" w:sz="0" w:space="0" w:color="auto"/>
          </w:divBdr>
        </w:div>
      </w:divsChild>
    </w:div>
    <w:div w:id="1248878968">
      <w:bodyDiv w:val="1"/>
      <w:marLeft w:val="0"/>
      <w:marRight w:val="0"/>
      <w:marTop w:val="0"/>
      <w:marBottom w:val="0"/>
      <w:divBdr>
        <w:top w:val="none" w:sz="0" w:space="0" w:color="auto"/>
        <w:left w:val="none" w:sz="0" w:space="0" w:color="auto"/>
        <w:bottom w:val="none" w:sz="0" w:space="0" w:color="auto"/>
        <w:right w:val="none" w:sz="0" w:space="0" w:color="auto"/>
      </w:divBdr>
    </w:div>
    <w:div w:id="1333485048">
      <w:bodyDiv w:val="1"/>
      <w:marLeft w:val="0"/>
      <w:marRight w:val="0"/>
      <w:marTop w:val="0"/>
      <w:marBottom w:val="0"/>
      <w:divBdr>
        <w:top w:val="none" w:sz="0" w:space="0" w:color="auto"/>
        <w:left w:val="none" w:sz="0" w:space="0" w:color="auto"/>
        <w:bottom w:val="none" w:sz="0" w:space="0" w:color="auto"/>
        <w:right w:val="none" w:sz="0" w:space="0" w:color="auto"/>
      </w:divBdr>
      <w:divsChild>
        <w:div w:id="1651977211">
          <w:marLeft w:val="0"/>
          <w:marRight w:val="0"/>
          <w:marTop w:val="0"/>
          <w:marBottom w:val="0"/>
          <w:divBdr>
            <w:top w:val="none" w:sz="0" w:space="0" w:color="auto"/>
            <w:left w:val="none" w:sz="0" w:space="0" w:color="auto"/>
            <w:bottom w:val="none" w:sz="0" w:space="0" w:color="auto"/>
            <w:right w:val="none" w:sz="0" w:space="0" w:color="auto"/>
          </w:divBdr>
        </w:div>
        <w:div w:id="1196847422">
          <w:marLeft w:val="0"/>
          <w:marRight w:val="0"/>
          <w:marTop w:val="0"/>
          <w:marBottom w:val="0"/>
          <w:divBdr>
            <w:top w:val="none" w:sz="0" w:space="0" w:color="auto"/>
            <w:left w:val="none" w:sz="0" w:space="0" w:color="auto"/>
            <w:bottom w:val="none" w:sz="0" w:space="0" w:color="auto"/>
            <w:right w:val="none" w:sz="0" w:space="0" w:color="auto"/>
          </w:divBdr>
        </w:div>
        <w:div w:id="171454849">
          <w:marLeft w:val="0"/>
          <w:marRight w:val="0"/>
          <w:marTop w:val="0"/>
          <w:marBottom w:val="0"/>
          <w:divBdr>
            <w:top w:val="none" w:sz="0" w:space="0" w:color="auto"/>
            <w:left w:val="none" w:sz="0" w:space="0" w:color="auto"/>
            <w:bottom w:val="none" w:sz="0" w:space="0" w:color="auto"/>
            <w:right w:val="none" w:sz="0" w:space="0" w:color="auto"/>
          </w:divBdr>
        </w:div>
        <w:div w:id="1143421861">
          <w:marLeft w:val="0"/>
          <w:marRight w:val="0"/>
          <w:marTop w:val="0"/>
          <w:marBottom w:val="0"/>
          <w:divBdr>
            <w:top w:val="none" w:sz="0" w:space="0" w:color="auto"/>
            <w:left w:val="none" w:sz="0" w:space="0" w:color="auto"/>
            <w:bottom w:val="none" w:sz="0" w:space="0" w:color="auto"/>
            <w:right w:val="none" w:sz="0" w:space="0" w:color="auto"/>
          </w:divBdr>
        </w:div>
      </w:divsChild>
    </w:div>
    <w:div w:id="1955403487">
      <w:bodyDiv w:val="1"/>
      <w:marLeft w:val="0"/>
      <w:marRight w:val="0"/>
      <w:marTop w:val="0"/>
      <w:marBottom w:val="0"/>
      <w:divBdr>
        <w:top w:val="none" w:sz="0" w:space="0" w:color="auto"/>
        <w:left w:val="none" w:sz="0" w:space="0" w:color="auto"/>
        <w:bottom w:val="none" w:sz="0" w:space="0" w:color="auto"/>
        <w:right w:val="none" w:sz="0" w:space="0" w:color="auto"/>
      </w:divBdr>
      <w:divsChild>
        <w:div w:id="860363764">
          <w:marLeft w:val="0"/>
          <w:marRight w:val="0"/>
          <w:marTop w:val="0"/>
          <w:marBottom w:val="0"/>
          <w:divBdr>
            <w:top w:val="none" w:sz="0" w:space="0" w:color="auto"/>
            <w:left w:val="none" w:sz="0" w:space="0" w:color="auto"/>
            <w:bottom w:val="none" w:sz="0" w:space="0" w:color="auto"/>
            <w:right w:val="none" w:sz="0" w:space="0" w:color="auto"/>
          </w:divBdr>
        </w:div>
      </w:divsChild>
    </w:div>
    <w:div w:id="1966812038">
      <w:bodyDiv w:val="1"/>
      <w:marLeft w:val="0"/>
      <w:marRight w:val="0"/>
      <w:marTop w:val="0"/>
      <w:marBottom w:val="0"/>
      <w:divBdr>
        <w:top w:val="none" w:sz="0" w:space="0" w:color="auto"/>
        <w:left w:val="none" w:sz="0" w:space="0" w:color="auto"/>
        <w:bottom w:val="none" w:sz="0" w:space="0" w:color="auto"/>
        <w:right w:val="none" w:sz="0" w:space="0" w:color="auto"/>
      </w:divBdr>
      <w:divsChild>
        <w:div w:id="938607921">
          <w:marLeft w:val="0"/>
          <w:marRight w:val="0"/>
          <w:marTop w:val="0"/>
          <w:marBottom w:val="0"/>
          <w:divBdr>
            <w:top w:val="none" w:sz="0" w:space="0" w:color="auto"/>
            <w:left w:val="none" w:sz="0" w:space="0" w:color="auto"/>
            <w:bottom w:val="none" w:sz="0" w:space="0" w:color="auto"/>
            <w:right w:val="none" w:sz="0" w:space="0" w:color="auto"/>
          </w:divBdr>
        </w:div>
        <w:div w:id="736711362">
          <w:marLeft w:val="0"/>
          <w:marRight w:val="0"/>
          <w:marTop w:val="0"/>
          <w:marBottom w:val="0"/>
          <w:divBdr>
            <w:top w:val="none" w:sz="0" w:space="0" w:color="auto"/>
            <w:left w:val="none" w:sz="0" w:space="0" w:color="auto"/>
            <w:bottom w:val="none" w:sz="0" w:space="0" w:color="auto"/>
            <w:right w:val="none" w:sz="0" w:space="0" w:color="auto"/>
          </w:divBdr>
        </w:div>
        <w:div w:id="1790200653">
          <w:marLeft w:val="0"/>
          <w:marRight w:val="0"/>
          <w:marTop w:val="0"/>
          <w:marBottom w:val="0"/>
          <w:divBdr>
            <w:top w:val="none" w:sz="0" w:space="0" w:color="auto"/>
            <w:left w:val="none" w:sz="0" w:space="0" w:color="auto"/>
            <w:bottom w:val="none" w:sz="0" w:space="0" w:color="auto"/>
            <w:right w:val="none" w:sz="0" w:space="0" w:color="auto"/>
          </w:divBdr>
        </w:div>
        <w:div w:id="163128292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jstor.org/stable/48591185"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2747</Words>
  <Characters>15659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2026-01-31T12:39:00Z</dcterms:created>
  <dcterms:modified xsi:type="dcterms:W3CDTF">2026-01-31T12:39:00Z</dcterms:modified>
</cp:coreProperties>
</file>